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left"/>
        <w:textAlignment w:val="center"/>
        <w:rPr>
          <w:rFonts w:ascii="黑体" w:hAnsi="黑体" w:eastAsia="黑体" w:cs="黑体"/>
          <w:bCs/>
          <w:kern w:val="0"/>
          <w:sz w:val="32"/>
          <w:szCs w:val="32"/>
          <w:lang w:bidi="ar"/>
        </w:rPr>
      </w:pPr>
      <w:r>
        <w:rPr>
          <w:rFonts w:hint="eastAsia" w:ascii="黑体" w:hAnsi="黑体" w:eastAsia="黑体" w:cs="黑体"/>
          <w:bCs/>
          <w:kern w:val="0"/>
          <w:sz w:val="32"/>
          <w:szCs w:val="32"/>
          <w:lang w:bidi="ar"/>
        </w:rPr>
        <w:t>附件</w:t>
      </w:r>
    </w:p>
    <w:p>
      <w:pPr>
        <w:widowControl/>
        <w:snapToGrid w:val="0"/>
        <w:jc w:val="center"/>
        <w:textAlignment w:val="center"/>
        <w:rPr>
          <w:rFonts w:ascii="宋体" w:hAnsi="宋体" w:cs="宋体"/>
          <w:b/>
          <w:kern w:val="0"/>
          <w:sz w:val="44"/>
          <w:szCs w:val="44"/>
          <w:lang w:bidi="ar"/>
        </w:rPr>
      </w:pPr>
      <w:r>
        <w:rPr>
          <w:rFonts w:hint="eastAsia" w:ascii="宋体" w:hAnsi="宋体" w:cs="宋体"/>
          <w:b/>
          <w:kern w:val="0"/>
          <w:sz w:val="44"/>
          <w:szCs w:val="44"/>
          <w:lang w:bidi="ar"/>
        </w:rPr>
        <w:t>辽宁省水利厅建筑业（水利方面）企业资质行业审查意见汇总表</w:t>
      </w:r>
    </w:p>
    <w:p>
      <w:pPr>
        <w:widowControl/>
        <w:snapToGrid w:val="0"/>
        <w:jc w:val="center"/>
        <w:textAlignment w:val="center"/>
        <w:rPr>
          <w:rFonts w:ascii="楷体" w:hAnsi="楷体" w:eastAsia="楷体" w:cs="楷体"/>
          <w:bCs/>
          <w:kern w:val="0"/>
          <w:sz w:val="32"/>
          <w:szCs w:val="32"/>
          <w:lang w:bidi="ar"/>
        </w:rPr>
      </w:pPr>
      <w:r>
        <w:rPr>
          <w:rFonts w:hint="eastAsia" w:ascii="楷体" w:hAnsi="楷体" w:eastAsia="楷体" w:cs="楷体"/>
          <w:bCs/>
          <w:kern w:val="0"/>
          <w:sz w:val="32"/>
          <w:szCs w:val="32"/>
          <w:lang w:bidi="ar"/>
        </w:rPr>
        <w:t>（2025年第九批）</w:t>
      </w:r>
    </w:p>
    <w:p>
      <w:pPr>
        <w:widowControl/>
        <w:snapToGrid w:val="0"/>
        <w:jc w:val="center"/>
        <w:textAlignment w:val="center"/>
        <w:rPr>
          <w:rFonts w:ascii="楷体" w:hAnsi="楷体" w:eastAsia="楷体" w:cs="楷体"/>
          <w:bCs/>
          <w:kern w:val="0"/>
          <w:sz w:val="32"/>
          <w:szCs w:val="32"/>
          <w:lang w:bidi="ar"/>
        </w:rPr>
      </w:pPr>
    </w:p>
    <w:tbl>
      <w:tblPr>
        <w:tblStyle w:val="6"/>
        <w:tblW w:w="14055" w:type="dxa"/>
        <w:jc w:val="center"/>
        <w:tblInd w:w="0" w:type="dxa"/>
        <w:tblLayout w:type="fixed"/>
        <w:tblCellMar>
          <w:top w:w="0" w:type="dxa"/>
          <w:left w:w="108" w:type="dxa"/>
          <w:bottom w:w="0" w:type="dxa"/>
          <w:right w:w="108" w:type="dxa"/>
        </w:tblCellMar>
      </w:tblPr>
      <w:tblGrid>
        <w:gridCol w:w="900"/>
        <w:gridCol w:w="3405"/>
        <w:gridCol w:w="4380"/>
        <w:gridCol w:w="5370"/>
      </w:tblGrid>
      <w:tr>
        <w:tblPrEx>
          <w:tblLayout w:type="fixed"/>
          <w:tblCellMar>
            <w:top w:w="0" w:type="dxa"/>
            <w:left w:w="108" w:type="dxa"/>
            <w:bottom w:w="0" w:type="dxa"/>
            <w:right w:w="108" w:type="dxa"/>
          </w:tblCellMar>
        </w:tblPrEx>
        <w:trPr>
          <w:trHeight w:val="699" w:hRule="atLeast"/>
          <w:tblHeader/>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cs="宋体"/>
                <w:b/>
                <w:sz w:val="24"/>
              </w:rPr>
            </w:pPr>
            <w:r>
              <w:rPr>
                <w:rFonts w:hint="eastAsia" w:ascii="宋体" w:hAnsi="宋体" w:cs="宋体"/>
                <w:b/>
                <w:kern w:val="0"/>
                <w:sz w:val="24"/>
                <w:lang w:bidi="ar"/>
              </w:rPr>
              <w:t>序号</w:t>
            </w: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cs="宋体"/>
                <w:b/>
                <w:sz w:val="24"/>
              </w:rPr>
            </w:pPr>
            <w:r>
              <w:rPr>
                <w:rFonts w:hint="eastAsia" w:ascii="宋体" w:hAnsi="宋体" w:cs="宋体"/>
                <w:b/>
                <w:kern w:val="0"/>
                <w:sz w:val="24"/>
                <w:lang w:bidi="ar"/>
              </w:rPr>
              <w:t>企业名称</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cs="宋体"/>
                <w:b/>
                <w:sz w:val="24"/>
              </w:rPr>
            </w:pPr>
            <w:r>
              <w:rPr>
                <w:rFonts w:hint="eastAsia" w:ascii="宋体" w:hAnsi="宋体" w:cs="宋体"/>
                <w:b/>
                <w:kern w:val="0"/>
                <w:sz w:val="24"/>
                <w:lang w:bidi="ar"/>
              </w:rPr>
              <w:t>申请事项</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cs="宋体"/>
                <w:b/>
                <w:kern w:val="0"/>
                <w:sz w:val="24"/>
                <w:lang w:bidi="ar"/>
              </w:rPr>
            </w:pPr>
            <w:r>
              <w:rPr>
                <w:rFonts w:hint="eastAsia" w:ascii="宋体" w:hAnsi="宋体" w:cs="宋体"/>
                <w:b/>
                <w:kern w:val="0"/>
                <w:sz w:val="24"/>
                <w:lang w:bidi="ar"/>
              </w:rPr>
              <w:t>审查意见</w:t>
            </w:r>
          </w:p>
        </w:tc>
      </w:tr>
      <w:tr>
        <w:tblPrEx>
          <w:tblLayout w:type="fixed"/>
          <w:tblCellMar>
            <w:top w:w="0" w:type="dxa"/>
            <w:left w:w="108" w:type="dxa"/>
            <w:bottom w:w="0" w:type="dxa"/>
            <w:right w:w="108" w:type="dxa"/>
          </w:tblCellMar>
        </w:tblPrEx>
        <w:trPr>
          <w:trHeight w:val="119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ascii="仿宋_GB2312" w:hAnsi="仿宋_GB2312" w:eastAsia="仿宋_GB2312" w:cs="仿宋_GB2312"/>
                <w:bCs/>
                <w:color w:val="000000"/>
                <w:sz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bookmarkStart w:id="0" w:name="OLE_LINK1"/>
            <w:r>
              <w:rPr>
                <w:rFonts w:hint="eastAsia" w:ascii="仿宋_GB2312" w:hAnsi="仿宋_GB2312" w:eastAsia="仿宋_GB2312" w:cs="仿宋_GB2312"/>
                <w:bCs/>
                <w:color w:val="000000"/>
                <w:sz w:val="24"/>
              </w:rPr>
              <w:t>朝阳福原建设工程有限公司</w:t>
            </w:r>
            <w:bookmarkEnd w:id="0"/>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kern w:val="0"/>
                <w:sz w:val="24"/>
                <w:lang w:bidi="ar"/>
              </w:rPr>
            </w:pPr>
            <w:r>
              <w:rPr>
                <w:rFonts w:hint="eastAsia" w:ascii="仿宋_GB2312" w:hAnsi="仿宋_GB2312" w:eastAsia="仿宋_GB2312" w:cs="仿宋_GB2312"/>
                <w:b/>
                <w:color w:val="000000"/>
                <w:kern w:val="0"/>
                <w:sz w:val="24"/>
                <w:lang w:bidi="ar"/>
              </w:rPr>
              <w:t>符合资质要求。</w:t>
            </w:r>
          </w:p>
        </w:tc>
      </w:tr>
      <w:tr>
        <w:tblPrEx>
          <w:tblLayout w:type="fixed"/>
          <w:tblCellMar>
            <w:top w:w="0" w:type="dxa"/>
            <w:left w:w="108" w:type="dxa"/>
            <w:bottom w:w="0" w:type="dxa"/>
            <w:right w:w="108" w:type="dxa"/>
          </w:tblCellMar>
        </w:tblPrEx>
        <w:trPr>
          <w:trHeight w:val="119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ascii="仿宋_GB2312" w:hAnsi="仿宋_GB2312" w:eastAsia="仿宋_GB2312" w:cs="仿宋_GB2312"/>
                <w:bCs/>
                <w:color w:val="000000"/>
                <w:sz w:val="24"/>
              </w:rPr>
            </w:pPr>
            <w:bookmarkStart w:id="1" w:name="_GoBack" w:colFirst="2" w:colLast="2"/>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大连祥泰建设工程有限公司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符合资质要求。</w:t>
            </w:r>
          </w:p>
        </w:tc>
      </w:tr>
      <w:bookmarkEnd w:id="1"/>
      <w:tr>
        <w:tblPrEx>
          <w:tblLayout w:type="fixed"/>
          <w:tblCellMar>
            <w:top w:w="0" w:type="dxa"/>
            <w:left w:w="108" w:type="dxa"/>
            <w:bottom w:w="0" w:type="dxa"/>
            <w:right w:w="108" w:type="dxa"/>
          </w:tblCellMar>
        </w:tblPrEx>
        <w:trPr>
          <w:trHeight w:val="119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ascii="仿宋_GB2312" w:hAnsi="仿宋_GB2312" w:eastAsia="仿宋_GB2312" w:cs="仿宋_GB2312"/>
                <w:bCs/>
                <w:color w:val="000000"/>
                <w:sz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丹东晟越建筑工程有限公司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符合资质要求。</w:t>
            </w:r>
          </w:p>
        </w:tc>
      </w:tr>
      <w:tr>
        <w:tblPrEx>
          <w:tblLayout w:type="fixed"/>
          <w:tblCellMar>
            <w:top w:w="0" w:type="dxa"/>
            <w:left w:w="108" w:type="dxa"/>
            <w:bottom w:w="0" w:type="dxa"/>
            <w:right w:w="108" w:type="dxa"/>
          </w:tblCellMar>
        </w:tblPrEx>
        <w:trPr>
          <w:trHeight w:val="119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ascii="仿宋_GB2312" w:hAnsi="仿宋_GB2312" w:eastAsia="仿宋_GB2312" w:cs="仿宋_GB2312"/>
                <w:bCs/>
                <w:color w:val="000000"/>
                <w:sz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桓仁德利水利工程有限公司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符合资质要求。</w:t>
            </w:r>
          </w:p>
        </w:tc>
      </w:tr>
      <w:tr>
        <w:tblPrEx>
          <w:tblLayout w:type="fixed"/>
          <w:tblCellMar>
            <w:top w:w="0" w:type="dxa"/>
            <w:left w:w="108" w:type="dxa"/>
            <w:bottom w:w="0" w:type="dxa"/>
            <w:right w:w="108" w:type="dxa"/>
          </w:tblCellMar>
        </w:tblPrEx>
        <w:trPr>
          <w:trHeight w:val="119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ascii="仿宋_GB2312" w:hAnsi="仿宋_GB2312" w:eastAsia="仿宋_GB2312" w:cs="仿宋_GB2312"/>
                <w:bCs/>
                <w:color w:val="000000"/>
                <w:sz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喀喇沁左翼蒙古族自治县建筑工程公司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符合资质要求。</w:t>
            </w:r>
          </w:p>
        </w:tc>
      </w:tr>
      <w:tr>
        <w:tblPrEx>
          <w:tblLayout w:type="fixed"/>
          <w:tblCellMar>
            <w:top w:w="0" w:type="dxa"/>
            <w:left w:w="108" w:type="dxa"/>
            <w:bottom w:w="0" w:type="dxa"/>
            <w:right w:w="108" w:type="dxa"/>
          </w:tblCellMar>
        </w:tblPrEx>
        <w:trPr>
          <w:trHeight w:val="119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ascii="仿宋_GB2312" w:hAnsi="仿宋_GB2312" w:eastAsia="仿宋_GB2312" w:cs="仿宋_GB2312"/>
                <w:bCs/>
                <w:color w:val="000000"/>
                <w:sz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辽宁光明建设集团有限公司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符合资质要求。</w:t>
            </w:r>
          </w:p>
        </w:tc>
      </w:tr>
      <w:tr>
        <w:tblPrEx>
          <w:tblLayout w:type="fixed"/>
          <w:tblCellMar>
            <w:top w:w="0" w:type="dxa"/>
            <w:left w:w="108" w:type="dxa"/>
            <w:bottom w:w="0" w:type="dxa"/>
            <w:right w:w="108" w:type="dxa"/>
          </w:tblCellMar>
        </w:tblPrEx>
        <w:trPr>
          <w:trHeight w:val="119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ascii="仿宋_GB2312" w:hAnsi="仿宋_GB2312" w:eastAsia="仿宋_GB2312" w:cs="仿宋_GB2312"/>
                <w:bCs/>
                <w:color w:val="000000"/>
                <w:sz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辽宁鸿源建筑工程有限公司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符合资质要求。</w:t>
            </w:r>
          </w:p>
        </w:tc>
      </w:tr>
      <w:tr>
        <w:tblPrEx>
          <w:tblLayout w:type="fixed"/>
          <w:tblCellMar>
            <w:top w:w="0" w:type="dxa"/>
            <w:left w:w="108" w:type="dxa"/>
            <w:bottom w:w="0" w:type="dxa"/>
            <w:right w:w="108" w:type="dxa"/>
          </w:tblCellMar>
        </w:tblPrEx>
        <w:trPr>
          <w:trHeight w:val="119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ascii="仿宋_GB2312" w:hAnsi="仿宋_GB2312" w:eastAsia="仿宋_GB2312" w:cs="仿宋_GB2312"/>
                <w:bCs/>
                <w:color w:val="000000"/>
                <w:sz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辽宁星发建设有限公司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符合资质要求。</w:t>
            </w:r>
          </w:p>
        </w:tc>
      </w:tr>
      <w:tr>
        <w:tblPrEx>
          <w:tblLayout w:type="fixed"/>
          <w:tblCellMar>
            <w:top w:w="0" w:type="dxa"/>
            <w:left w:w="108" w:type="dxa"/>
            <w:bottom w:w="0" w:type="dxa"/>
            <w:right w:w="108" w:type="dxa"/>
          </w:tblCellMar>
        </w:tblPrEx>
        <w:trPr>
          <w:trHeight w:val="119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ascii="仿宋_GB2312" w:hAnsi="仿宋_GB2312" w:eastAsia="仿宋_GB2312" w:cs="仿宋_GB2312"/>
                <w:bCs/>
                <w:color w:val="000000"/>
                <w:sz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本溪长宏水利工程有限公司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符合资质要求。</w:t>
            </w:r>
          </w:p>
        </w:tc>
      </w:tr>
      <w:tr>
        <w:tblPrEx>
          <w:tblLayout w:type="fixed"/>
          <w:tblCellMar>
            <w:top w:w="0" w:type="dxa"/>
            <w:left w:w="108" w:type="dxa"/>
            <w:bottom w:w="0" w:type="dxa"/>
            <w:right w:w="108" w:type="dxa"/>
          </w:tblCellMar>
        </w:tblPrEx>
        <w:trPr>
          <w:trHeight w:val="119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ascii="仿宋_GB2312" w:hAnsi="仿宋_GB2312" w:eastAsia="仿宋_GB2312" w:cs="仿宋_GB2312"/>
                <w:bCs/>
                <w:color w:val="000000"/>
                <w:sz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阜新泓途建设工程有限公司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符合资质要求。</w:t>
            </w:r>
          </w:p>
        </w:tc>
      </w:tr>
      <w:tr>
        <w:tblPrEx>
          <w:tblLayout w:type="fixed"/>
          <w:tblCellMar>
            <w:top w:w="0" w:type="dxa"/>
            <w:left w:w="108" w:type="dxa"/>
            <w:bottom w:w="0" w:type="dxa"/>
            <w:right w:w="108" w:type="dxa"/>
          </w:tblCellMar>
        </w:tblPrEx>
        <w:trPr>
          <w:trHeight w:val="119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ascii="仿宋_GB2312" w:hAnsi="仿宋_GB2312" w:eastAsia="仿宋_GB2312" w:cs="仿宋_GB2312"/>
                <w:bCs/>
                <w:color w:val="000000"/>
                <w:sz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阜新华盛城乡建设工程有限公司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符合资质要求。</w:t>
            </w:r>
          </w:p>
        </w:tc>
      </w:tr>
      <w:tr>
        <w:tblPrEx>
          <w:tblLayout w:type="fixed"/>
          <w:tblCellMar>
            <w:top w:w="0" w:type="dxa"/>
            <w:left w:w="108" w:type="dxa"/>
            <w:bottom w:w="0" w:type="dxa"/>
            <w:right w:w="108" w:type="dxa"/>
          </w:tblCellMar>
        </w:tblPrEx>
        <w:trPr>
          <w:trHeight w:val="119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ascii="仿宋_GB2312" w:hAnsi="仿宋_GB2312" w:eastAsia="仿宋_GB2312" w:cs="仿宋_GB2312"/>
                <w:bCs/>
                <w:color w:val="000000"/>
                <w:sz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辽宁东汉建筑工程有限公司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符合资质要求。</w:t>
            </w:r>
          </w:p>
        </w:tc>
      </w:tr>
      <w:tr>
        <w:tblPrEx>
          <w:tblLayout w:type="fixed"/>
          <w:tblCellMar>
            <w:top w:w="0" w:type="dxa"/>
            <w:left w:w="108" w:type="dxa"/>
            <w:bottom w:w="0" w:type="dxa"/>
            <w:right w:w="108" w:type="dxa"/>
          </w:tblCellMar>
        </w:tblPrEx>
        <w:trPr>
          <w:trHeight w:val="2226"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ascii="仿宋_GB2312" w:hAnsi="仿宋_GB2312" w:eastAsia="仿宋_GB2312" w:cs="仿宋_GB2312"/>
                <w:bCs/>
                <w:color w:val="000000"/>
                <w:sz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辽宁辽水汇海建设工程有限公司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建筑业企业资质认定（总承包特级、一级及部分专业一级除外）-资质设立-水利水电工程施工总承包二级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不符合资质要求。</w:t>
            </w:r>
          </w:p>
          <w:p>
            <w:pPr>
              <w:widowControl/>
              <w:snapToGrid w:val="0"/>
              <w:jc w:val="left"/>
              <w:textAlignment w:val="center"/>
              <w:rPr>
                <w:rFonts w:ascii="仿宋_GB2312" w:hAnsi="仿宋_GB2312" w:eastAsia="仿宋_GB2312" w:cs="仿宋_GB2312"/>
                <w:b/>
                <w:color w:val="000000"/>
                <w:kern w:val="0"/>
                <w:sz w:val="24"/>
                <w:lang w:bidi="ar"/>
              </w:rPr>
            </w:pPr>
            <w:r>
              <w:rPr>
                <w:rFonts w:hint="eastAsia" w:ascii="仿宋_GB2312" w:hAnsi="仿宋_GB2312" w:eastAsia="仿宋_GB2312" w:cs="仿宋_GB2312"/>
                <w:bCs/>
                <w:color w:val="000000"/>
                <w:kern w:val="0"/>
                <w:sz w:val="24"/>
                <w:lang w:bidi="ar"/>
              </w:rPr>
              <w:t>黄凌春、胡敏、李元辉、林晓丽、肖恺悦、孙生龙、梁柏祥、吴海鹏、袁伟、朱丽娟、王婉莹、杨子晖、胡楠、金婷婷、刘聪聪、刘佳强、沈波、夏蕾未通过社保校验。</w:t>
            </w:r>
          </w:p>
        </w:tc>
      </w:tr>
      <w:tr>
        <w:tblPrEx>
          <w:tblLayout w:type="fixed"/>
          <w:tblCellMar>
            <w:top w:w="0" w:type="dxa"/>
            <w:left w:w="108" w:type="dxa"/>
            <w:bottom w:w="0" w:type="dxa"/>
            <w:right w:w="108" w:type="dxa"/>
          </w:tblCellMar>
        </w:tblPrEx>
        <w:trPr>
          <w:trHeight w:val="340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ascii="仿宋_GB2312" w:hAnsi="仿宋_GB2312" w:eastAsia="仿宋_GB2312" w:cs="仿宋_GB2312"/>
                <w:bCs/>
                <w:color w:val="000000"/>
                <w:sz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大连市水务集团工程建设有限公司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不符合资质要求。</w:t>
            </w:r>
          </w:p>
          <w:p>
            <w:pPr>
              <w:widowControl/>
              <w:snapToGrid w:val="0"/>
              <w:jc w:val="left"/>
              <w:textAlignment w:val="center"/>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技术负责人柏西战职称证专业为“工程”，赵伟杰、范旭昶、罗洋三人职称证专业为“水利自动化与信息化”。</w:t>
            </w:r>
          </w:p>
          <w:p>
            <w:pPr>
              <w:widowControl/>
              <w:snapToGrid w:val="0"/>
              <w:jc w:val="left"/>
              <w:textAlignment w:val="center"/>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业绩“</w:t>
            </w:r>
            <w:r>
              <w:rPr>
                <w:rFonts w:ascii="仿宋_GB2312" w:hAnsi="仿宋_GB2312" w:eastAsia="仿宋_GB2312" w:cs="仿宋_GB2312"/>
                <w:bCs/>
                <w:color w:val="000000"/>
                <w:kern w:val="0"/>
                <w:sz w:val="24"/>
                <w:lang w:bidi="ar"/>
              </w:rPr>
              <w:t>桂林南山水利枢纽工程枢纽建筑物土建施工及金属结构安装</w:t>
            </w:r>
            <w:r>
              <w:rPr>
                <w:rFonts w:hint="eastAsia" w:ascii="仿宋_GB2312" w:hAnsi="仿宋_GB2312" w:eastAsia="仿宋_GB2312" w:cs="仿宋_GB2312"/>
                <w:bCs/>
                <w:color w:val="000000"/>
                <w:kern w:val="0"/>
                <w:sz w:val="24"/>
                <w:lang w:bidi="ar"/>
              </w:rPr>
              <w:t>”的证明材料不符合水利相关规范，业绩存疑。</w:t>
            </w:r>
          </w:p>
          <w:p>
            <w:pPr>
              <w:widowControl/>
              <w:snapToGrid w:val="0"/>
              <w:jc w:val="left"/>
              <w:textAlignment w:val="center"/>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全国水利监管平台显示伏世红在其他企业在职。</w:t>
            </w:r>
          </w:p>
        </w:tc>
      </w:tr>
      <w:tr>
        <w:tblPrEx>
          <w:tblLayout w:type="fixed"/>
          <w:tblCellMar>
            <w:top w:w="0" w:type="dxa"/>
            <w:left w:w="108" w:type="dxa"/>
            <w:bottom w:w="0" w:type="dxa"/>
            <w:right w:w="108" w:type="dxa"/>
          </w:tblCellMar>
        </w:tblPrEx>
        <w:trPr>
          <w:trHeight w:val="364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ascii="仿宋_GB2312" w:hAnsi="仿宋_GB2312" w:eastAsia="仿宋_GB2312" w:cs="仿宋_GB2312"/>
                <w:bCs/>
                <w:color w:val="000000"/>
                <w:sz w:val="24"/>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辽宁慧程建设工程有限公司</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不符合资质要求。</w:t>
            </w:r>
          </w:p>
          <w:p>
            <w:pPr>
              <w:widowControl/>
              <w:snapToGrid w:val="0"/>
              <w:jc w:val="left"/>
              <w:textAlignment w:val="center"/>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全国水利监管平台显示，技术负责人胡金河已从申报企业离职，郭维城在其他企业在职。</w:t>
            </w:r>
          </w:p>
          <w:p>
            <w:pPr>
              <w:widowControl/>
              <w:snapToGrid w:val="0"/>
              <w:jc w:val="left"/>
              <w:textAlignment w:val="center"/>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业绩“广西北海市合浦县洪潮江水闸除险加固工程1标(土建部分)”及“湘资沅澧支流治理(湘江望城段)-望城区湘江东岸堤防综合治理工程施工第一标段”均未提供业绩证明材料，且业绩表信息与全国水利监管平台信息不一致，业绩存疑。</w:t>
            </w:r>
          </w:p>
        </w:tc>
      </w:tr>
      <w:tr>
        <w:tblPrEx>
          <w:tblLayout w:type="fixed"/>
          <w:tblCellMar>
            <w:top w:w="0" w:type="dxa"/>
            <w:left w:w="108" w:type="dxa"/>
            <w:bottom w:w="0" w:type="dxa"/>
            <w:right w:w="108" w:type="dxa"/>
          </w:tblCellMar>
        </w:tblPrEx>
        <w:trPr>
          <w:trHeight w:val="4086"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ascii="仿宋_GB2312" w:hAnsi="仿宋_GB2312" w:eastAsia="仿宋_GB2312" w:cs="仿宋_GB2312"/>
                <w:bCs/>
                <w:color w:val="000000"/>
                <w:sz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辽宁新星建筑工程有限公司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不符合资质要求。</w:t>
            </w:r>
          </w:p>
          <w:p>
            <w:pPr>
              <w:widowControl/>
              <w:snapToGrid w:val="0"/>
              <w:jc w:val="left"/>
              <w:textAlignment w:val="center"/>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业绩“濮阳市引黄灌溉调节水库三期建筑物工程第一标段”的证明材料不符合水利相关规范。业绩存疑。</w:t>
            </w:r>
          </w:p>
          <w:p>
            <w:pPr>
              <w:widowControl/>
              <w:snapToGrid w:val="0"/>
              <w:jc w:val="left"/>
              <w:textAlignment w:val="center"/>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业绩“驻马店市薄山水库除险加固工程(一期)”证明材料</w:t>
            </w:r>
            <w:r>
              <w:rPr>
                <w:rFonts w:hint="eastAsia" w:ascii="仿宋_GB2312" w:hAnsi="仿宋_GB2312" w:eastAsia="仿宋_GB2312" w:cs="仿宋_GB2312"/>
                <w:bCs/>
                <w:color w:val="000000"/>
                <w:kern w:val="0"/>
                <w:sz w:val="24"/>
                <w:lang w:eastAsia="zh-CN" w:bidi="ar"/>
              </w:rPr>
              <w:t>与</w:t>
            </w:r>
            <w:r>
              <w:rPr>
                <w:rFonts w:hint="eastAsia" w:ascii="仿宋_GB2312" w:hAnsi="仿宋_GB2312" w:eastAsia="仿宋_GB2312" w:cs="仿宋_GB2312"/>
                <w:bCs/>
                <w:color w:val="000000"/>
                <w:kern w:val="0"/>
                <w:sz w:val="24"/>
                <w:lang w:bidi="ar"/>
              </w:rPr>
              <w:t>全国水利监管平台信息不一致。业绩存疑。</w:t>
            </w:r>
          </w:p>
        </w:tc>
      </w:tr>
      <w:tr>
        <w:tblPrEx>
          <w:tblLayout w:type="fixed"/>
          <w:tblCellMar>
            <w:top w:w="0" w:type="dxa"/>
            <w:left w:w="108" w:type="dxa"/>
            <w:bottom w:w="0" w:type="dxa"/>
            <w:right w:w="108" w:type="dxa"/>
          </w:tblCellMar>
        </w:tblPrEx>
        <w:trPr>
          <w:trHeight w:val="2356"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ascii="仿宋_GB2312" w:hAnsi="仿宋_GB2312" w:eastAsia="仿宋_GB2312" w:cs="仿宋_GB2312"/>
                <w:bCs/>
                <w:color w:val="000000"/>
                <w:sz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辽宁众俐程建筑工程有限公司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不符合资质要求。</w:t>
            </w:r>
          </w:p>
          <w:p>
            <w:pPr>
              <w:widowControl/>
              <w:snapToGrid w:val="0"/>
              <w:jc w:val="left"/>
              <w:textAlignment w:val="center"/>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业绩“阜南县刘庄闸和普善闸除险加固工程施工1标”和“阜阳市阜南县淮河流域西淝河等沿淮洼地（贺胜站)工程施工标”的证明材料内容前后不一致，业绩存疑。</w:t>
            </w:r>
          </w:p>
        </w:tc>
      </w:tr>
      <w:tr>
        <w:tblPrEx>
          <w:tblLayout w:type="fixed"/>
          <w:tblCellMar>
            <w:top w:w="0" w:type="dxa"/>
            <w:left w:w="108" w:type="dxa"/>
            <w:bottom w:w="0" w:type="dxa"/>
            <w:right w:w="108" w:type="dxa"/>
          </w:tblCellMar>
        </w:tblPrEx>
        <w:trPr>
          <w:trHeight w:val="289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ascii="仿宋_GB2312" w:hAnsi="仿宋_GB2312" w:eastAsia="仿宋_GB2312" w:cs="仿宋_GB2312"/>
                <w:bCs/>
                <w:color w:val="000000"/>
                <w:sz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盘山县水利建筑工程处</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不符合资质要求。</w:t>
            </w:r>
          </w:p>
          <w:p>
            <w:pPr>
              <w:widowControl/>
              <w:snapToGrid w:val="0"/>
              <w:jc w:val="left"/>
              <w:textAlignment w:val="center"/>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业绩“盘山县农业水利基础设施建设及羊圈子盐田改水田土地整理项目一盘山县农业水利基础设施建设工程(一标段)(二次)”和“盘山羊圈子镇旱田改水田及水利防洪工程项目-河道防洪及相关工程二标段(五次)”时间重复，且两业绩均未提供涉水建设的具体内容和金额。业绩存疑。</w:t>
            </w:r>
          </w:p>
          <w:p>
            <w:pPr>
              <w:widowControl/>
              <w:snapToGrid w:val="0"/>
              <w:jc w:val="left"/>
              <w:textAlignment w:val="center"/>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所有人员均未通过社保校验。</w:t>
            </w:r>
          </w:p>
        </w:tc>
      </w:tr>
      <w:tr>
        <w:tblPrEx>
          <w:tblLayout w:type="fixed"/>
          <w:tblCellMar>
            <w:top w:w="0" w:type="dxa"/>
            <w:left w:w="108" w:type="dxa"/>
            <w:bottom w:w="0" w:type="dxa"/>
            <w:right w:w="108" w:type="dxa"/>
          </w:tblCellMar>
        </w:tblPrEx>
        <w:trPr>
          <w:trHeight w:val="265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ascii="仿宋_GB2312" w:hAnsi="仿宋_GB2312" w:eastAsia="仿宋_GB2312" w:cs="仿宋_GB2312"/>
                <w:bCs/>
                <w:color w:val="000000"/>
                <w:sz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北票承启建设工程有限公司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rFonts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不符合资质要求。</w:t>
            </w:r>
          </w:p>
          <w:p>
            <w:pPr>
              <w:widowControl/>
              <w:snapToGrid w:val="0"/>
              <w:jc w:val="left"/>
              <w:textAlignment w:val="center"/>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全国水利监管平台显示陈丹丹在其他单位在职。</w:t>
            </w:r>
          </w:p>
          <w:p>
            <w:pPr>
              <w:widowControl/>
              <w:snapToGrid w:val="0"/>
              <w:jc w:val="left"/>
              <w:textAlignment w:val="center"/>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胡光炎、李家鑫未通过社保校验。</w:t>
            </w:r>
          </w:p>
        </w:tc>
      </w:tr>
      <w:tr>
        <w:tblPrEx>
          <w:tblLayout w:type="fixed"/>
          <w:tblCellMar>
            <w:top w:w="0" w:type="dxa"/>
            <w:left w:w="108" w:type="dxa"/>
            <w:bottom w:w="0" w:type="dxa"/>
            <w:right w:w="108" w:type="dxa"/>
          </w:tblCellMar>
        </w:tblPrEx>
        <w:trPr>
          <w:trHeight w:val="4333"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ascii="仿宋_GB2312" w:hAnsi="仿宋_GB2312" w:eastAsia="仿宋_GB2312" w:cs="仿宋_GB2312"/>
                <w:bCs/>
                <w:color w:val="000000"/>
                <w:sz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辽河油田建设有限公司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rFonts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不符合资质要求。</w:t>
            </w:r>
          </w:p>
          <w:p>
            <w:pPr>
              <w:widowControl/>
              <w:snapToGrid w:val="0"/>
              <w:jc w:val="left"/>
              <w:textAlignment w:val="center"/>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技术负责人马超无从事水利工程施工技术管理工作经历。</w:t>
            </w:r>
          </w:p>
          <w:p>
            <w:pPr>
              <w:widowControl/>
              <w:snapToGrid w:val="0"/>
              <w:jc w:val="left"/>
              <w:textAlignment w:val="center"/>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高泽帅、李国庆、孟祥光、王双峰四人职称证专业为“电力工程”</w:t>
            </w:r>
          </w:p>
          <w:p>
            <w:pPr>
              <w:widowControl/>
              <w:snapToGrid w:val="0"/>
              <w:jc w:val="left"/>
              <w:textAlignment w:val="center"/>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业绩“绕阳河左岸兴隆台区段防洪治理工程设施改迁”“绕阳河防汛治理工程一特油一水闸建设”“新建朝阳至秦沈高铁凌海南站铁路联络线工程盘锦线(朝凌客专联络线凌海段)管道迁改工程”均不是水利水电工程。业绩不予认可。</w:t>
            </w:r>
          </w:p>
          <w:p>
            <w:pPr>
              <w:widowControl/>
              <w:snapToGrid w:val="0"/>
              <w:jc w:val="left"/>
              <w:textAlignment w:val="center"/>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刁广军未通过社保校验。</w:t>
            </w:r>
          </w:p>
        </w:tc>
      </w:tr>
      <w:tr>
        <w:tblPrEx>
          <w:tblLayout w:type="fixed"/>
          <w:tblCellMar>
            <w:top w:w="0" w:type="dxa"/>
            <w:left w:w="108" w:type="dxa"/>
            <w:bottom w:w="0" w:type="dxa"/>
            <w:right w:w="108" w:type="dxa"/>
          </w:tblCellMar>
        </w:tblPrEx>
        <w:trPr>
          <w:trHeight w:val="3396"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ascii="仿宋_GB2312" w:hAnsi="仿宋_GB2312" w:eastAsia="仿宋_GB2312" w:cs="仿宋_GB2312"/>
                <w:bCs/>
                <w:color w:val="000000"/>
                <w:sz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辽宁枫泽建设工程有限公司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rFonts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不符合资质要求。</w:t>
            </w:r>
          </w:p>
          <w:p>
            <w:pPr>
              <w:widowControl/>
              <w:snapToGrid w:val="0"/>
              <w:jc w:val="left"/>
              <w:textAlignment w:val="center"/>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业绩“赤壁市东风排涝泵站工程”不是水利水电工程。业绩不予认可</w:t>
            </w:r>
          </w:p>
        </w:tc>
      </w:tr>
      <w:tr>
        <w:tblPrEx>
          <w:tblLayout w:type="fixed"/>
          <w:tblCellMar>
            <w:top w:w="0" w:type="dxa"/>
            <w:left w:w="108" w:type="dxa"/>
            <w:bottom w:w="0" w:type="dxa"/>
            <w:right w:w="108" w:type="dxa"/>
          </w:tblCellMar>
        </w:tblPrEx>
        <w:trPr>
          <w:trHeight w:val="2356"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ascii="仿宋_GB2312" w:hAnsi="仿宋_GB2312" w:eastAsia="仿宋_GB2312" w:cs="仿宋_GB2312"/>
                <w:bCs/>
                <w:color w:val="000000"/>
                <w:sz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辽宁清源华益建设工程有限公司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rFonts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不符合资质要求。</w:t>
            </w:r>
          </w:p>
          <w:p>
            <w:pPr>
              <w:widowControl/>
              <w:snapToGrid w:val="0"/>
              <w:jc w:val="left"/>
              <w:textAlignment w:val="center"/>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业绩“中山市小榄水道福兴段河岸整治工程”的竣工验收时间为2020年3月16日，“台山市广海镇康洞水库除险加固工程”的合同验收日期为2022年4月20日，此时何希已从企业离职，不具备代表企业参加验收条件。业绩存疑。</w:t>
            </w:r>
          </w:p>
        </w:tc>
      </w:tr>
      <w:tr>
        <w:tblPrEx>
          <w:tblLayout w:type="fixed"/>
          <w:tblCellMar>
            <w:top w:w="0" w:type="dxa"/>
            <w:left w:w="108" w:type="dxa"/>
            <w:bottom w:w="0" w:type="dxa"/>
            <w:right w:w="108" w:type="dxa"/>
          </w:tblCellMar>
        </w:tblPrEx>
        <w:trPr>
          <w:trHeight w:val="2356"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ascii="仿宋_GB2312" w:hAnsi="仿宋_GB2312" w:eastAsia="仿宋_GB2312" w:cs="仿宋_GB2312"/>
                <w:bCs/>
                <w:color w:val="000000"/>
                <w:sz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辽宁万钢建设工程有限公司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rFonts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不符合资质要求。</w:t>
            </w:r>
          </w:p>
          <w:p>
            <w:pPr>
              <w:widowControl/>
              <w:snapToGrid w:val="0"/>
              <w:jc w:val="left"/>
              <w:textAlignment w:val="center"/>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全国水利监管平台显示技术负责人徐亮已从申报单位离职。</w:t>
            </w:r>
          </w:p>
        </w:tc>
      </w:tr>
      <w:tr>
        <w:tblPrEx>
          <w:tblLayout w:type="fixed"/>
          <w:tblCellMar>
            <w:top w:w="0" w:type="dxa"/>
            <w:left w:w="108" w:type="dxa"/>
            <w:bottom w:w="0" w:type="dxa"/>
            <w:right w:w="108" w:type="dxa"/>
          </w:tblCellMar>
        </w:tblPrEx>
        <w:trPr>
          <w:trHeight w:val="2856"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ascii="仿宋_GB2312" w:hAnsi="仿宋_GB2312" w:eastAsia="仿宋_GB2312" w:cs="仿宋_GB2312"/>
                <w:bCs/>
                <w:color w:val="000000"/>
                <w:sz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盘锦鑫盛源水利工程有限公司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rFonts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不符合资质要求。</w:t>
            </w:r>
          </w:p>
          <w:p>
            <w:pPr>
              <w:widowControl/>
              <w:snapToGrid w:val="0"/>
              <w:jc w:val="left"/>
              <w:textAlignment w:val="center"/>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业绩“普洱市孟连县现代化边境小康村农村供水保障工程建设项目”未提供竣工验收鉴定书或合同完工验收鉴定书，业绩存疑。不符合资质要求</w:t>
            </w:r>
          </w:p>
          <w:p>
            <w:pPr>
              <w:widowControl/>
              <w:snapToGrid w:val="0"/>
              <w:jc w:val="left"/>
              <w:textAlignment w:val="center"/>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全国水利监管平台显示，胡国新、党要胚、何啟斌、秦立华、宋炳芝、张伟等人在其他单位在职。</w:t>
            </w:r>
          </w:p>
        </w:tc>
      </w:tr>
      <w:tr>
        <w:tblPrEx>
          <w:tblLayout w:type="fixed"/>
          <w:tblCellMar>
            <w:top w:w="0" w:type="dxa"/>
            <w:left w:w="108" w:type="dxa"/>
            <w:bottom w:w="0" w:type="dxa"/>
            <w:right w:w="108" w:type="dxa"/>
          </w:tblCellMar>
        </w:tblPrEx>
        <w:trPr>
          <w:trHeight w:val="307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ascii="仿宋_GB2312" w:hAnsi="仿宋_GB2312" w:eastAsia="仿宋_GB2312" w:cs="仿宋_GB2312"/>
                <w:bCs/>
                <w:color w:val="000000"/>
                <w:sz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中交一航局第三工程有限公司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rFonts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不符合资质要求。</w:t>
            </w:r>
          </w:p>
          <w:p>
            <w:pPr>
              <w:widowControl/>
              <w:snapToGrid w:val="0"/>
              <w:jc w:val="left"/>
              <w:textAlignment w:val="center"/>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业绩“礼亨水库除险加固扩建工程”、“龙塘镇泵站安装工程”均未提供业绩证明材料，江西省公共资源交易平台上未查询到项目信息，全国水利监管平台登记信息与政府网站信息不一致，业绩存疑。</w:t>
            </w:r>
          </w:p>
          <w:p>
            <w:pPr>
              <w:widowControl/>
              <w:snapToGrid w:val="0"/>
              <w:jc w:val="left"/>
              <w:textAlignment w:val="center"/>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羊建业、唐亮、张春阁、张友毕、蒲红家、陈海洋等六人人职称证专业为“港航与水利工程”。</w:t>
            </w:r>
          </w:p>
        </w:tc>
      </w:tr>
      <w:tr>
        <w:tblPrEx>
          <w:tblLayout w:type="fixed"/>
          <w:tblCellMar>
            <w:top w:w="0" w:type="dxa"/>
            <w:left w:w="108" w:type="dxa"/>
            <w:bottom w:w="0" w:type="dxa"/>
            <w:right w:w="108" w:type="dxa"/>
          </w:tblCellMar>
        </w:tblPrEx>
        <w:trPr>
          <w:trHeight w:val="1495"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ascii="仿宋_GB2312" w:hAnsi="仿宋_GB2312" w:eastAsia="仿宋_GB2312" w:cs="仿宋_GB2312"/>
                <w:bCs/>
                <w:color w:val="000000"/>
                <w:sz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辽宁和盛泰建筑工程有限公司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kern w:val="0"/>
                <w:sz w:val="24"/>
                <w:lang w:bidi="ar"/>
              </w:rPr>
            </w:pPr>
            <w:r>
              <w:rPr>
                <w:rFonts w:hint="eastAsia" w:ascii="仿宋_GB2312" w:hAnsi="仿宋_GB2312" w:eastAsia="仿宋_GB2312" w:cs="仿宋_GB2312"/>
                <w:b/>
                <w:color w:val="000000"/>
                <w:kern w:val="0"/>
                <w:sz w:val="24"/>
                <w:lang w:bidi="ar"/>
              </w:rPr>
              <w:t>无</w:t>
            </w:r>
            <w:r>
              <w:rPr>
                <w:rFonts w:hint="eastAsia" w:ascii="仿宋_GB2312" w:hAnsi="仿宋_GB2312" w:eastAsia="仿宋_GB2312" w:cs="仿宋_GB2312"/>
                <w:bCs/>
                <w:color w:val="000000"/>
                <w:kern w:val="0"/>
                <w:sz w:val="24"/>
                <w:lang w:bidi="ar"/>
              </w:rPr>
              <w:t>（企业在审查阶段申请撤销）</w:t>
            </w:r>
          </w:p>
        </w:tc>
      </w:tr>
      <w:tr>
        <w:tblPrEx>
          <w:tblLayout w:type="fixed"/>
          <w:tblCellMar>
            <w:top w:w="0" w:type="dxa"/>
            <w:left w:w="108" w:type="dxa"/>
            <w:bottom w:w="0" w:type="dxa"/>
            <w:right w:w="108" w:type="dxa"/>
          </w:tblCellMar>
        </w:tblPrEx>
        <w:trPr>
          <w:trHeight w:val="1495"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ascii="仿宋_GB2312" w:hAnsi="仿宋_GB2312" w:eastAsia="仿宋_GB2312" w:cs="仿宋_GB2312"/>
                <w:bCs/>
                <w:color w:val="000000"/>
                <w:sz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丹东市顺东发建筑工程有限公司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kern w:val="0"/>
                <w:sz w:val="24"/>
                <w:lang w:bidi="ar"/>
              </w:rPr>
            </w:pPr>
            <w:r>
              <w:rPr>
                <w:rFonts w:hint="eastAsia" w:ascii="仿宋_GB2312" w:hAnsi="仿宋_GB2312" w:eastAsia="仿宋_GB2312" w:cs="仿宋_GB2312"/>
                <w:b/>
                <w:color w:val="000000"/>
                <w:kern w:val="0"/>
                <w:sz w:val="24"/>
                <w:lang w:bidi="ar"/>
              </w:rPr>
              <w:t>无</w:t>
            </w:r>
            <w:r>
              <w:rPr>
                <w:rFonts w:hint="eastAsia" w:ascii="仿宋_GB2312" w:hAnsi="仿宋_GB2312" w:eastAsia="仿宋_GB2312" w:cs="仿宋_GB2312"/>
                <w:bCs/>
                <w:color w:val="000000"/>
                <w:kern w:val="0"/>
                <w:sz w:val="24"/>
                <w:lang w:bidi="ar"/>
              </w:rPr>
              <w:t>（企业在审查阶段申请撤销）</w:t>
            </w:r>
          </w:p>
        </w:tc>
      </w:tr>
      <w:tr>
        <w:tblPrEx>
          <w:tblLayout w:type="fixed"/>
          <w:tblCellMar>
            <w:top w:w="0" w:type="dxa"/>
            <w:left w:w="108" w:type="dxa"/>
            <w:bottom w:w="0" w:type="dxa"/>
            <w:right w:w="108" w:type="dxa"/>
          </w:tblCellMar>
        </w:tblPrEx>
        <w:trPr>
          <w:trHeight w:val="1495"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ascii="仿宋_GB2312" w:hAnsi="仿宋_GB2312" w:eastAsia="仿宋_GB2312" w:cs="仿宋_GB2312"/>
                <w:bCs/>
                <w:color w:val="000000"/>
                <w:sz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锦州华地建设集团有限公司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仿宋_GB2312" w:hAnsi="仿宋_GB2312" w:eastAsia="仿宋_GB2312" w:cs="仿宋_GB2312"/>
                <w:bCs/>
                <w:color w:val="000000"/>
                <w:kern w:val="0"/>
                <w:sz w:val="24"/>
                <w:lang w:bidi="ar"/>
              </w:rPr>
            </w:pPr>
            <w:r>
              <w:rPr>
                <w:rFonts w:hint="eastAsia" w:ascii="仿宋_GB2312" w:hAnsi="仿宋_GB2312" w:eastAsia="仿宋_GB2312" w:cs="仿宋_GB2312"/>
                <w:b/>
                <w:color w:val="000000"/>
                <w:kern w:val="0"/>
                <w:sz w:val="24"/>
                <w:lang w:bidi="ar"/>
              </w:rPr>
              <w:t>无</w:t>
            </w:r>
            <w:r>
              <w:rPr>
                <w:rFonts w:hint="eastAsia" w:ascii="仿宋_GB2312" w:hAnsi="仿宋_GB2312" w:eastAsia="仿宋_GB2312" w:cs="仿宋_GB2312"/>
                <w:bCs/>
                <w:color w:val="000000"/>
                <w:kern w:val="0"/>
                <w:sz w:val="24"/>
                <w:lang w:bidi="ar"/>
              </w:rPr>
              <w:t>（企业在审查阶段申请撤销）</w:t>
            </w:r>
          </w:p>
        </w:tc>
      </w:tr>
    </w:tbl>
    <w:p>
      <w:pPr>
        <w:spacing w:line="240" w:lineRule="exact"/>
      </w:pPr>
    </w:p>
    <w:sectPr>
      <w:footerReference r:id="rId3" w:type="default"/>
      <w:pgSz w:w="16838" w:h="11906" w:orient="landscape"/>
      <w:pgMar w:top="1746" w:right="1440" w:bottom="1449" w:left="1440"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EF16F6"/>
    <w:multiLevelType w:val="singleLevel"/>
    <w:tmpl w:val="FFEF16F6"/>
    <w:lvl w:ilvl="0" w:tentative="0">
      <w:start w:val="1"/>
      <w:numFmt w:val="decimal"/>
      <w:suff w:val="nothing"/>
      <w:lvlText w:val="%1"/>
      <w:lvlJc w:val="left"/>
      <w:pPr>
        <w:ind w:left="0" w:firstLine="397"/>
      </w:pPr>
      <w:rPr>
        <w:rFonts w:hint="default" w:ascii="宋体" w:hAnsi="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3BB4245F"/>
    <w:rsid w:val="0030133E"/>
    <w:rsid w:val="00C11327"/>
    <w:rsid w:val="00F74E08"/>
    <w:rsid w:val="0491485F"/>
    <w:rsid w:val="09425466"/>
    <w:rsid w:val="0DB12A97"/>
    <w:rsid w:val="138400D0"/>
    <w:rsid w:val="13C13A05"/>
    <w:rsid w:val="1424155D"/>
    <w:rsid w:val="198A5F58"/>
    <w:rsid w:val="1AB84528"/>
    <w:rsid w:val="1B6D312C"/>
    <w:rsid w:val="1DD23D69"/>
    <w:rsid w:val="205D356A"/>
    <w:rsid w:val="27974E3B"/>
    <w:rsid w:val="2CFD260B"/>
    <w:rsid w:val="2F5A7E09"/>
    <w:rsid w:val="2FE65452"/>
    <w:rsid w:val="32A532E1"/>
    <w:rsid w:val="32EF0C54"/>
    <w:rsid w:val="37232FE7"/>
    <w:rsid w:val="38363CC7"/>
    <w:rsid w:val="3A466031"/>
    <w:rsid w:val="3BB4245F"/>
    <w:rsid w:val="3C5D1E68"/>
    <w:rsid w:val="3E99125E"/>
    <w:rsid w:val="41EE728B"/>
    <w:rsid w:val="42634C7B"/>
    <w:rsid w:val="46AE67D9"/>
    <w:rsid w:val="472E220B"/>
    <w:rsid w:val="4B382DA5"/>
    <w:rsid w:val="4EB75FC4"/>
    <w:rsid w:val="508F3361"/>
    <w:rsid w:val="51514B70"/>
    <w:rsid w:val="524C65B8"/>
    <w:rsid w:val="550C5665"/>
    <w:rsid w:val="59CD603E"/>
    <w:rsid w:val="5FE55272"/>
    <w:rsid w:val="675549AD"/>
    <w:rsid w:val="689A558F"/>
    <w:rsid w:val="69BC0DBD"/>
    <w:rsid w:val="6D400168"/>
    <w:rsid w:val="6DB76612"/>
    <w:rsid w:val="70D32327"/>
    <w:rsid w:val="741970C2"/>
    <w:rsid w:val="74840B3E"/>
    <w:rsid w:val="76D647F4"/>
    <w:rsid w:val="79D3193C"/>
    <w:rsid w:val="79F82FE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503</Words>
  <Characters>2871</Characters>
  <Lines>23</Lines>
  <Paragraphs>6</Paragraphs>
  <TotalTime>0</TotalTime>
  <ScaleCrop>false</ScaleCrop>
  <LinksUpToDate>false</LinksUpToDate>
  <CharactersWithSpaces>3368</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2023-07-21T06:26:00Z</dcterms:created>
  <dc:creator>Administrator</dc:creator>
  <cp:lastModifiedBy>潘卓</cp:lastModifiedBy>
  <cp:lastPrinted>2025-06-30T01:42:00Z</cp:lastPrinted>
  <dcterms:modified xsi:type="dcterms:W3CDTF">2025-09-02T07:15:22Z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y fmtid="{D5CDD505-2E9C-101B-9397-08002B2CF9AE}" pid="3" name="ICV">
    <vt:lpwstr>CF2D0D548D9F4C698782108755CF097E_13</vt:lpwstr>
  </property>
  <property fmtid="{D5CDD505-2E9C-101B-9397-08002B2CF9AE}" pid="4" name="KSOTemplateDocerSaveRecord">
    <vt:lpwstr>eyJoZGlkIjoiMzEwNTM5NzYwMDRjMzkwZTVkZjY2ODkwMGIxNGU0OTUiLCJ1c2VySWQiOiI2MDQ3ODE5NTIifQ==</vt:lpwstr>
  </property>
</Properties>
</file>