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widowControl/>
        <w:snapToGrid w:val="0"/>
        <w:jc w:val="center"/>
        <w:textAlignment w:val="center"/>
        <w:rPr>
          <w:rFonts w:ascii="楷体" w:eastAsia="楷体" w:cs="楷体" w:hAnsi="楷体" w:hint="eastAsia"/>
          <w:b w:val="0"/>
          <w:bCs/>
          <w:i w:val="0"/>
          <w:iCs w:val="0"/>
          <w:kern w:val="0"/>
          <w:sz w:val="32"/>
          <w:szCs w:val="32"/>
          <w:lang w:eastAsia="zh-CN"/>
        </w:rPr>
      </w:pPr>
      <w:bookmarkStart w:id="0" w:name="_GoBack"/>
      <w:bookmarkEnd w:id="0"/>
    </w:p>
    <w:tbl>
      <w:tblPr>
        <w:jc w:val="center"/>
        <w:tblW w:w="14055"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00"/>
        <w:gridCol w:w="4125"/>
        <w:gridCol w:w="5004"/>
        <w:gridCol w:w="4026"/>
      </w:tblGrid>
      <w:tr>
        <w:trPr>
          <w:trHeight w:val="699"/>
          <w:tblHeader/>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序号</w:t>
            </w: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企业名称</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sz w:val="24"/>
              </w:rPr>
            </w:pPr>
            <w:r>
              <w:rPr>
                <w:rFonts w:ascii="宋体" w:cs="宋体" w:hAnsi="宋体" w:hint="eastAsia"/>
                <w:b/>
                <w:kern w:val="0"/>
                <w:sz w:val="24"/>
              </w:rPr>
              <w:t>申请事项</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center"/>
              <w:textAlignment w:val="center"/>
              <w:rPr>
                <w:rFonts w:ascii="宋体" w:cs="宋体" w:hAnsi="宋体" w:hint="eastAsia"/>
                <w:b/>
                <w:kern w:val="0"/>
                <w:sz w:val="24"/>
              </w:rPr>
            </w:pPr>
            <w:r>
              <w:rPr>
                <w:rFonts w:ascii="宋体" w:cs="宋体" w:hAnsi="宋体" w:hint="eastAsia"/>
                <w:b/>
                <w:kern w:val="0"/>
                <w:sz w:val="24"/>
              </w:rPr>
              <w:t>审查结果</w:t>
            </w:r>
          </w:p>
        </w:tc>
      </w:tr>
      <w:tr>
        <w:trPr>
          <w:trHeight w:val="2218"/>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lang w:val="en-US" w:eastAsia="zh-CN"/>
              </w:rPr>
              <w:t>辽宁恒旺建设工程有限公司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eastAsia="zh-CN"/>
              </w:rPr>
              <w:t>符合资质要求。</w:t>
            </w:r>
          </w:p>
        </w:tc>
      </w:tr>
      <w:tr>
        <w:trPr>
          <w:trHeight w:val="2826"/>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rPr>
              <w:fldChar w:fldCharType="separate"/>
            </w:r>
            <w:r>
              <w:rPr>
                <w:rFonts w:ascii="仿宋_GB2312" w:eastAsia="仿宋_GB2312" w:cs="仿宋_GB2312" w:hAnsi="仿宋_GB2312" w:hint="eastAsia"/>
                <w:bCs/>
                <w:color w:val="000000"/>
                <w:sz w:val="24"/>
                <w:szCs w:val="24"/>
              </w:rPr>
              <w:t>葫芦岛市利源水利建设工程有限公司</w:t>
            </w:r>
            <w:r>
              <w:rPr>
                <w:rFonts w:ascii="仿宋_GB2312" w:eastAsia="仿宋_GB2312" w:cs="仿宋_GB2312" w:hAnsi="仿宋_GB2312" w:hint="eastAsia"/>
                <w:bCs/>
                <w:color w:val="000000"/>
                <w:sz w:val="24"/>
                <w:szCs w:val="24"/>
              </w:rPr>
              <w:fldChar w:fldCharType="end"/>
            </w:r>
            <w:r>
              <w:rPr>
                <w:rFonts w:ascii="仿宋_GB2312" w:eastAsia="仿宋_GB2312" w:cs="仿宋_GB2312" w:hAnsi="仿宋_GB2312" w:hint="eastAsia"/>
                <w:bCs/>
                <w:color w:val="000000"/>
                <w:sz w:val="24"/>
                <w:szCs w:val="24"/>
              </w:rPr>
              <w:t xml:space="preserve"> </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rPr>
            </w:pPr>
            <w:r>
              <w:rPr>
                <w:rFonts w:ascii="仿宋_GB2312" w:eastAsia="仿宋_GB2312" w:cs="仿宋_GB2312" w:hAnsi="仿宋_GB2312" w:hint="eastAsia"/>
                <w:bCs/>
                <w:color w:val="000000"/>
                <w:kern w:val="0"/>
                <w:sz w:val="24"/>
                <w:szCs w:val="24"/>
                <w:lang w:val="en-US" w:eastAsia="zh-CN"/>
              </w:rPr>
              <w:t>李某佳社保因有多个账号校核未通过，不符合资质要求。</w:t>
            </w:r>
          </w:p>
        </w:tc>
      </w:tr>
      <w:tr>
        <w:trPr>
          <w:trHeight w:val="2417"/>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rPr>
              <w:fldChar w:fldCharType="separate"/>
            </w:r>
            <w:r>
              <w:rPr>
                <w:rFonts w:ascii="仿宋_GB2312" w:eastAsia="仿宋_GB2312" w:cs="仿宋_GB2312" w:hAnsi="仿宋_GB2312" w:hint="eastAsia"/>
                <w:bCs/>
                <w:color w:val="000000"/>
                <w:sz w:val="24"/>
                <w:szCs w:val="24"/>
              </w:rPr>
              <w:t>葫芦岛市金岛建设有限责任公司</w:t>
            </w:r>
            <w:r>
              <w:rPr>
                <w:rFonts w:ascii="仿宋_GB2312" w:eastAsia="仿宋_GB2312" w:cs="仿宋_GB2312" w:hAnsi="仿宋_GB2312" w:hint="eastAsia"/>
                <w:bCs/>
                <w:color w:val="000000"/>
                <w:sz w:val="24"/>
                <w:szCs w:val="24"/>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刘某盛、吴某昆、綦某新、樊某勤、杨某、温某红、李某荣等7人全国水利监管平台显示在其他企业从业。技术负责人刘某盛全国水利监管平台显示2024年12月已从申报企业离职。不符合资质要求。</w:t>
            </w:r>
          </w:p>
        </w:tc>
      </w:tr>
      <w:tr>
        <w:trPr>
          <w:trHeight w:val="5127"/>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bCs/>
                <w:color w:val="000000"/>
                <w:sz w:val="24"/>
                <w:szCs w:val="24"/>
                <w:lang w:val="en-US" w:eastAsia="zh-CN"/>
              </w:rPr>
            </w:pPr>
            <w:r>
              <w:rPr>
                <w:rFonts w:ascii="仿宋_GB2312" w:eastAsia="仿宋_GB2312" w:cs="仿宋_GB2312" w:hAnsi="仿宋_GB2312"/>
                <w:bCs/>
                <w:color w:val="000000"/>
                <w:sz w:val="24"/>
                <w:szCs w:val="24"/>
                <w:lang w:val="en-US" w:eastAsia="zh-CN"/>
              </w:rPr>
              <w:t>辽宁乾峰建筑工程有限公司</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全国水利监管平台无宁阳县贤村水库与月牙河水库水系连通工程登记信息且未提供业绩证明材料。</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曹县2016年大中型水库移民后期扶持中央结余资金项目信息与全国水利监管平台登记信息不一致业绩存疑。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于某滨、丁某翠、杨某莉、周某英等4人全国水利监管平台显示在其他企业从业。丁某翠、王某、杨某莉、蔡某凌、张某华、周某英、于某波、张某菊、陶某杰社保校验未通过。</w:t>
            </w:r>
          </w:p>
          <w:p>
            <w:pPr>
              <w:widowControl/>
              <w:snapToGrid w:val="0"/>
              <w:jc w:val="left"/>
              <w:textAlignment w:val="center"/>
              <w:rPr>
                <w:rFonts w:ascii="仿宋_GB2312" w:eastAsia="仿宋_GB2312" w:cs="仿宋_GB2312" w:hAnsi="仿宋_GB2312" w:hint="eastAsia"/>
                <w:bCs/>
                <w:color w:val="000000"/>
                <w:kern w:val="0"/>
                <w:sz w:val="24"/>
                <w:szCs w:val="24"/>
                <w:lang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3923"/>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辽宁京盟建设工程有限公司</w:t>
            </w:r>
            <w:r>
              <w:rPr>
                <w:rFonts w:ascii="仿宋_GB2312" w:eastAsia="仿宋_GB2312" w:cs="仿宋_GB2312" w:hAnsi="仿宋_GB2312" w:hint="eastAsia"/>
                <w:bCs/>
                <w:color w:val="000000"/>
                <w:sz w:val="24"/>
                <w:szCs w:val="24"/>
                <w:lang w:val="en-US" w:eastAsia="zh-CN"/>
              </w:rPr>
              <w:fldChar w:fldCharType="end"/>
            </w:r>
            <w:r>
              <w:rPr>
                <w:rFonts w:ascii="仿宋_GB2312" w:eastAsia="仿宋_GB2312" w:cs="仿宋_GB2312" w:hAnsi="仿宋_GB2312" w:hint="eastAsia"/>
                <w:bCs/>
                <w:color w:val="000000"/>
                <w:sz w:val="24"/>
                <w:szCs w:val="24"/>
                <w:lang w:val="en-US" w:eastAsia="zh-CN"/>
              </w:rPr>
              <w:t> </w:t>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技术负责人从业经历与全国水利监管平台不一致，经历存疑。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北海市牛尾岭水库除险加固工程业绩证明材料中无水库坝高的技术参数，证明材料中合同与工程名称不符。该技术负责人业绩表中的从业简历与项目竣工验收时间相矛盾。</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防城港市小峰水库除险加固工程完工鉴定书签字显示傅俊杰为项目副总，且全国水利监管平台显示该项目技术负责人为覃词，业绩存疑。</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3833"/>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大连武霖建设工程有限公司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建造师徐某宝专业非水利水电工程。</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荆某英、梁某跃、解某、蒙某杰等4人全国水利监管平台显示在其他企业从业。</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业绩1、2全国水利监管平台均无登记信息且未提供业绩证明材料。全国水利监管平台显示2018.5-2024.5期间，技术负责人在德惠市水利水电工程有限公司任职，与该业绩存在矛盾。</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丹东东利路桥工程有限公司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符合资质要求。</w:t>
            </w:r>
          </w:p>
        </w:tc>
      </w:tr>
      <w:tr>
        <w:trPr>
          <w:trHeight w:val="2962"/>
        </w:trPr>
        <w:tc>
          <w:tcPr>
            <w:tcW w:w="900" w:type="dxa"/>
            <w:tcBorders>
              <w:top w:val="single" w:sz="4" w:space="0" w:color="000000"/>
              <w:left w:val="single" w:sz="4" w:space="0" w:color="000000"/>
              <w:bottom w:val="single" w:sz="4" w:space="0" w:color="000000"/>
              <w:right w:val="single" w:sz="4" w:space="0" w:color="000000"/>
            </w:tcBorders>
            <w:vAlign w:val="center"/>
          </w:tcPr>
          <w:p>
            <w:pPr>
              <w:widowControl/>
              <w:numPr>
                <w:ilvl w:val="0"/>
                <w:numId w:val="1"/>
              </w:numPr>
              <w:snapToGrid w:val="0"/>
              <w:ind w:left="0" w:firstLine="0"/>
              <w:jc w:val="center"/>
              <w:textAlignment w:val="center"/>
              <w:rPr>
                <w:rFonts w:ascii="仿宋_GB2312" w:eastAsia="仿宋_GB2312" w:cs="仿宋_GB2312" w:hAnsi="仿宋_GB2312" w:hint="eastAsia"/>
                <w:bCs/>
                <w:color w:val="000000"/>
                <w:sz w:val="24"/>
                <w:szCs w:val="24"/>
              </w:rPr>
            </w:pPr>
          </w:p>
        </w:tc>
        <w:tc>
          <w:tcPr>
            <w:tcW w:w="4125"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lang w:val="en-US" w:eastAsia="zh-CN"/>
              </w:rPr>
            </w:pPr>
            <w:r>
              <w:rPr>
                <w:rFonts w:ascii="仿宋_GB2312" w:eastAsia="仿宋_GB2312" w:cs="仿宋_GB2312" w:hAnsi="仿宋_GB2312" w:hint="eastAsia"/>
                <w:bCs/>
                <w:color w:val="000000"/>
                <w:sz w:val="24"/>
                <w:szCs w:val="24"/>
                <w:lang w:val="en-US" w:eastAsia="zh-CN"/>
              </w:rPr>
              <w:fldChar w:fldCharType="begin"/>
            </w:r>
            <w:r>
              <w:instrText>HYPERLINK "https://59.197.161.2/hz_aeaa/todo/more_manage?parentlink=304B9AA0-7B24-4CA0-B4C8-1A81DBB1E6C2&amp;sonlink=B23D966E-8075-4F9A-A154-1AFF5539C047&amp;page.currentPage=4&amp;page.showCount=10"</w:instrText>
            </w:r>
            <w:r>
              <w:rPr>
                <w:rFonts w:ascii="仿宋_GB2312" w:eastAsia="仿宋_GB2312" w:cs="仿宋_GB2312" w:hAnsi="仿宋_GB2312" w:hint="eastAsia"/>
                <w:bCs/>
                <w:color w:val="000000"/>
                <w:sz w:val="24"/>
                <w:szCs w:val="24"/>
                <w:lang w:val="en-US" w:eastAsia="zh-CN"/>
              </w:rPr>
              <w:fldChar w:fldCharType="separate"/>
            </w:r>
            <w:r>
              <w:rPr>
                <w:rFonts w:ascii="仿宋_GB2312" w:eastAsia="仿宋_GB2312" w:cs="仿宋_GB2312" w:hAnsi="仿宋_GB2312" w:hint="eastAsia"/>
                <w:bCs/>
                <w:color w:val="000000"/>
                <w:sz w:val="24"/>
                <w:szCs w:val="24"/>
                <w:lang w:val="en-US" w:eastAsia="zh-CN"/>
              </w:rPr>
              <w:t>辽宁同鑫建设有限公司</w:t>
            </w:r>
            <w:r>
              <w:rPr>
                <w:rFonts w:ascii="仿宋_GB2312" w:eastAsia="仿宋_GB2312" w:cs="仿宋_GB2312" w:hAnsi="仿宋_GB2312" w:hint="eastAsia"/>
                <w:bCs/>
                <w:color w:val="000000"/>
                <w:sz w:val="24"/>
                <w:szCs w:val="24"/>
                <w:lang w:val="en-US" w:eastAsia="zh-CN"/>
              </w:rPr>
              <w:fldChar w:fldCharType="end"/>
            </w:r>
          </w:p>
        </w:tc>
        <w:tc>
          <w:tcPr>
            <w:tcW w:w="5004"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sz w:val="24"/>
                <w:szCs w:val="24"/>
              </w:rPr>
            </w:pPr>
            <w:r>
              <w:rPr>
                <w:rFonts w:ascii="仿宋_GB2312" w:eastAsia="仿宋_GB2312" w:cs="仿宋_GB2312" w:hAnsi="仿宋_GB2312" w:hint="eastAsia"/>
                <w:bCs/>
                <w:color w:val="000000"/>
                <w:sz w:val="24"/>
                <w:szCs w:val="24"/>
              </w:rPr>
              <w:t>建筑业企业资质认定（总承包特级、一级及部分专业一级除外）-资质升级-水利水电工程施工总承包二级</w:t>
            </w:r>
          </w:p>
        </w:tc>
        <w:tc>
          <w:tcPr>
            <w:tcW w:w="4026" w:type="dxa"/>
            <w:tcBorders>
              <w:top w:val="single" w:sz="4" w:space="0" w:color="000000"/>
              <w:left w:val="single" w:sz="4" w:space="0" w:color="000000"/>
              <w:bottom w:val="single" w:sz="4" w:space="0" w:color="000000"/>
              <w:right w:val="single" w:sz="4" w:space="0" w:color="000000"/>
            </w:tcBorders>
            <w:vAlign w:val="center"/>
          </w:tcPr>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业绩1、2全国水利监管平台均无登记信息且未提供业绩证明材料。</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刘某、刘某香、荣某、吴某、徐某华5人社保校核未通过。刘某、刘某香、荣某等3人全国水利监管平台显示在其他单位任职。</w:t>
            </w:r>
          </w:p>
          <w:p>
            <w:pPr>
              <w:widowControl/>
              <w:snapToGrid w:val="0"/>
              <w:jc w:val="left"/>
              <w:textAlignment w:val="center"/>
              <w:rPr>
                <w:rFonts w:ascii="仿宋_GB2312" w:eastAsia="仿宋_GB2312" w:cs="仿宋_GB2312" w:hAnsi="仿宋_GB2312" w:hint="eastAsia"/>
                <w:bCs/>
                <w:color w:val="000000"/>
                <w:kern w:val="0"/>
                <w:sz w:val="24"/>
                <w:szCs w:val="24"/>
                <w:lang w:val="en-US" w:eastAsia="zh-CN"/>
              </w:rPr>
            </w:pPr>
            <w:r>
              <w:rPr>
                <w:rFonts w:ascii="仿宋_GB2312" w:eastAsia="仿宋_GB2312" w:cs="仿宋_GB2312" w:hAnsi="仿宋_GB2312" w:hint="eastAsia"/>
                <w:bCs/>
                <w:color w:val="000000"/>
                <w:kern w:val="0"/>
                <w:sz w:val="24"/>
                <w:szCs w:val="24"/>
                <w:lang w:val="en-US" w:eastAsia="zh-CN"/>
              </w:rPr>
              <w:t>不符合资质要求。</w:t>
            </w: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pPr>
    </w:p>
    <w:sectPr>
      <w:footerReference w:type="default" r:id="rId2"/>
      <w:pgSz w:w="16838" w:h="11906" w:orient="landscape"/>
      <w:pgMar w:top="1746" w:right="1440" w:bottom="1449" w:left="1440" w:header="851" w:footer="992" w:gutter="0"/>
      <w:pgNumType w:start="2"/>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2010600030101010101"/>
    <w:charset w:val="86"/>
    <w:family w:val="auto"/>
    <w:pitch w:val="variable"/>
    <w:sig w:usb0="00000003" w:usb1="288F0000" w:usb2="00000006" w:usb3="00000000" w:csb0="00040001" w:csb1="00000000"/>
  </w:font>
  <w:font w:name="楷体">
    <w:altName w:val="方正楷体_GBK"/>
    <w:panose1 w:val="02010609060101010101"/>
    <w:charset w:val="86"/>
    <w:family w:val="auto"/>
    <w:pitch w:val="variable"/>
    <w:sig w:usb0="800002BF" w:usb1="38CF7CFA" w:usb2="00000016" w:usb3="00000000" w:csb0="00040001" w:csb1="00000000"/>
  </w:font>
  <w:font w:name="仿宋_GB2312">
    <w:altName w:val="方正仿宋_GBK"/>
    <w:panose1 w:val="02010609030101010101"/>
    <w:charset w:val="86"/>
    <w:family w:val="auto"/>
    <w:pitch w:val="variable"/>
    <w:sig w:usb0="00000001" w:usb1="080E0000" w:usb2="00000000" w:usb3="00000000" w:csb0="00040000"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00002FF" w:usb1="4000ACFF" w:usb2="00000001" w:usb3="00000000" w:csb0="2000019F" w:csb1="00000000"/>
  </w:font>
  <w:font w:name="文泉驿正黑">
    <w:panose1 w:val="02000603000000000000"/>
    <w:charset w:val="86"/>
    <w:family w:val="script"/>
    <w:pitch w:val="variable"/>
    <w:sig w:usb0="900002BF" w:usb1="2BDF7DFB" w:usb2="00000036" w:usb3="00000000" w:csb0="603E000D" w:csb1="D2D70000"/>
  </w:font>
  <w:font w:name="黑体">
    <w:altName w:val="方正黑体_GBK"/>
    <w:panose1 w:val="02010609060101010101"/>
    <w:charset w:val="86"/>
    <w:family w:val="auto"/>
    <w:pitch w:val="variable"/>
    <w:sig w:usb0="800002BF" w:usb1="38CF7CFA" w:usb2="00000016"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76198" cy="133159"/>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6198" cy="133159"/>
                      </a:xfrm>
                      <a:prstGeom prst="rect"/>
                      <a:noFill/>
                      <a:ln w="6350" cmpd="sng" cap="flat">
                        <a:noFill/>
                        <a:prstDash val="solid"/>
                        <a:round/>
                      </a:ln>
                    </wps:spPr>
                    <wps:txbx id="2">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vert="horz" wrap="none" lIns="0" tIns="0" rIns="0" bIns="0" anchor="t" anchorCtr="0" upright="0">
                      <a:spAutoFit/>
                    </wps:bodyPr>
                  </wps:wsp>
                </a:graphicData>
              </a:graphic>
            </wp:anchor>
          </w:drawing>
        </mc:Choice>
        <mc:Fallback>
          <w:pict>
            <v:shape type="#_x0000_t202" id="文本框 1 3" o:spid="_x0000_s3" filled="f" stroked="f" strokeweight="0.5pt" style="position:absolute;margin-left:0.0pt;margin-top:0.0pt;width:5.9999084pt;height:10.484998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FFEF16F6"/>
    <w:multiLevelType w:val="singleLevel"/>
    <w:tmpl w:val="FFEF16F6"/>
    <w:lvl w:ilvl="0">
      <w:start w:val="1"/>
      <w:numFmt w:val="decimal"/>
      <w:lvlRestart w:val="0"/>
      <w:suff w:val="nothing"/>
      <w:lvlText w:val="%1"/>
      <w:lvlJc w:val="left"/>
      <w:pPr>
        <w:ind w:left="0" w:firstLine="397"/>
      </w:pPr>
      <w:rPr>
        <w:rFonts w:ascii="宋体" w:hAnsi="宋体"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doNotExpandShiftReturn/>
    <w:adjustLineHeightInTable/>
    <w:doNotUseIndentAsNumberingTabStop/>
    <w:useAltKinsokuLineBreakRules/>
    <w:compatSetting w:name="compatibilityMode" w:uri="http://schemas.microsoft.com/office/word" w:val="14"/>
  </w:compat>
  <w:docVars>
    <w:docVar w:name="commondata" w:val="eyJoZGlkIjoiMzEwNTM5NzYwMDRjMzkwZTVkZjY2ODkwMGIxNGU0OTU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文泉驿正黑" w:eastAsia="黑体" w:hAnsi="文泉驿正黑"/>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rPr>
  </w:style>
  <w:style w:type="paragraph" w:styleId="16">
    <w:name w:val="header"/>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 w:type="character" w:styleId="17">
    <w:name w:val="Hyperlink"/>
    <w:basedOn w:val="10"/>
    <w:rPr>
      <w:color w:val="0000FF"/>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CB85C380-E1EA-4AA2-8F56-8924A5065C73}">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0</TotalTime>
  <Application>Yozo_Office27021597764231179</Application>
  <Pages>5</Pages>
  <Words>0</Words>
  <Characters>950</Characters>
  <Lines>0</Lines>
  <Paragraphs>3</Paragraphs>
  <CharactersWithSpaces>1267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PPP</cp:lastModifiedBy>
  <cp:revision>1</cp:revision>
  <cp:lastPrinted>2023-12-18T03:13:00Z</cp:lastPrinted>
  <dcterms:created xsi:type="dcterms:W3CDTF">2023-07-21T06:26:00Z</dcterms:created>
  <dcterms:modified xsi:type="dcterms:W3CDTF">2025-03-28T07:19:21Z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2052-10.8.0.5988</vt:lpwstr>
  </property>
  <property fmtid="{D5CDD505-2E9C-101B-9397-08002B2CF9AE}" pid="3" name="ICV">
    <vt:lpwstr>3C7C3023F56E47BB8FBFE55586A3C052_13</vt:lpwstr>
  </property>
</Properties>
</file>