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b/>
          <w:sz w:val="36"/>
          <w:szCs w:val="36"/>
        </w:rPr>
      </w:pPr>
      <w:bookmarkStart w:id="0" w:name="_Toc28031767"/>
      <w:bookmarkStart w:id="1" w:name="_Toc294405956"/>
      <w:bookmarkStart w:id="2" w:name="_Toc1443500458"/>
      <w:bookmarkStart w:id="3" w:name="_Toc1629098347"/>
      <w:r>
        <w:rPr>
          <w:rFonts w:ascii="黑体" w:hAnsi="黑体" w:eastAsia="黑体"/>
          <w:b/>
          <w:sz w:val="36"/>
          <w:szCs w:val="36"/>
        </w:rPr>
        <w:t>202</w:t>
      </w:r>
      <w:r>
        <w:rPr>
          <w:rFonts w:hint="eastAsia" w:ascii="黑体" w:hAnsi="黑体" w:eastAsia="黑体"/>
          <w:b/>
          <w:sz w:val="36"/>
          <w:szCs w:val="36"/>
          <w:lang w:val="en-US" w:eastAsia="zh-CN"/>
        </w:rPr>
        <w:t>4</w:t>
      </w:r>
      <w:r>
        <w:rPr>
          <w:rFonts w:ascii="黑体" w:hAnsi="黑体" w:eastAsia="黑体"/>
          <w:b/>
          <w:sz w:val="36"/>
          <w:szCs w:val="36"/>
        </w:rPr>
        <w:t>年辽宁省科学技术奖</w:t>
      </w:r>
      <w:bookmarkEnd w:id="0"/>
      <w:r>
        <w:rPr>
          <w:rFonts w:hint="eastAsia" w:ascii="黑体" w:hAnsi="黑体" w:eastAsia="黑体"/>
          <w:b/>
          <w:sz w:val="36"/>
          <w:szCs w:val="36"/>
          <w:lang w:val="en-US" w:eastAsia="zh-CN"/>
        </w:rPr>
        <w:t>拟推荐项目</w:t>
      </w:r>
      <w:r>
        <w:rPr>
          <w:rFonts w:hint="eastAsia" w:ascii="黑体" w:hAnsi="黑体" w:eastAsia="黑体"/>
          <w:b/>
          <w:sz w:val="36"/>
          <w:szCs w:val="36"/>
        </w:rPr>
        <w:t>公示</w:t>
      </w:r>
    </w:p>
    <w:p>
      <w:pPr>
        <w:adjustRightInd w:val="0"/>
        <w:snapToGrid w:val="0"/>
        <w:spacing w:line="360" w:lineRule="auto"/>
        <w:rPr>
          <w:sz w:val="24"/>
          <w:szCs w:val="24"/>
        </w:rPr>
      </w:pPr>
      <w:r>
        <w:rPr>
          <w:rFonts w:hint="eastAsia" w:ascii="方正粗黑宋简体" w:hAnsi="方正粗黑宋简体" w:eastAsia="方正粗黑宋简体"/>
          <w:b/>
          <w:sz w:val="24"/>
          <w:szCs w:val="24"/>
        </w:rPr>
        <w:t>1</w:t>
      </w:r>
      <w:r>
        <w:rPr>
          <w:rFonts w:ascii="方正粗黑宋简体" w:hAnsi="方正粗黑宋简体" w:eastAsia="方正粗黑宋简体"/>
          <w:b/>
          <w:sz w:val="24"/>
          <w:szCs w:val="24"/>
        </w:rPr>
        <w:t>.项目名称</w:t>
      </w:r>
      <w:r>
        <w:rPr>
          <w:rFonts w:hint="eastAsia" w:ascii="方正粗黑宋简体" w:hAnsi="方正粗黑宋简体" w:eastAsia="方正粗黑宋简体"/>
          <w:b/>
          <w:sz w:val="24"/>
          <w:szCs w:val="24"/>
        </w:rPr>
        <w:t>：</w:t>
      </w:r>
      <w:r>
        <w:rPr>
          <w:rFonts w:hint="eastAsia"/>
          <w:sz w:val="24"/>
          <w:szCs w:val="24"/>
        </w:rPr>
        <w:t>严寒地区能源供给侧多能源耦合供热关键技术与应用</w:t>
      </w:r>
    </w:p>
    <w:p>
      <w:pPr>
        <w:adjustRightInd w:val="0"/>
        <w:snapToGrid w:val="0"/>
        <w:spacing w:line="360" w:lineRule="auto"/>
        <w:rPr>
          <w:rFonts w:hint="eastAsia"/>
          <w:sz w:val="28"/>
          <w:szCs w:val="28"/>
        </w:rPr>
      </w:pPr>
      <w:r>
        <w:rPr>
          <w:rFonts w:hint="eastAsia" w:ascii="方正粗黑宋简体" w:hAnsi="方正粗黑宋简体" w:eastAsia="方正粗黑宋简体"/>
          <w:b/>
          <w:sz w:val="24"/>
          <w:szCs w:val="24"/>
        </w:rPr>
        <w:t>2</w:t>
      </w:r>
      <w:r>
        <w:rPr>
          <w:rFonts w:ascii="方正粗黑宋简体" w:hAnsi="方正粗黑宋简体" w:eastAsia="方正粗黑宋简体"/>
          <w:b/>
          <w:sz w:val="24"/>
          <w:szCs w:val="24"/>
        </w:rPr>
        <w:t>.科技进步奖</w:t>
      </w:r>
      <w:r>
        <w:rPr>
          <w:rFonts w:hint="eastAsia" w:ascii="方正粗黑宋简体" w:hAnsi="方正粗黑宋简体" w:eastAsia="方正粗黑宋简体"/>
          <w:b/>
          <w:sz w:val="24"/>
          <w:szCs w:val="24"/>
        </w:rPr>
        <w:t>及等级</w:t>
      </w:r>
      <w:r>
        <w:rPr>
          <w:rFonts w:ascii="方正粗黑宋简体" w:hAnsi="方正粗黑宋简体" w:eastAsia="方正粗黑宋简体"/>
          <w:b/>
          <w:sz w:val="24"/>
          <w:szCs w:val="24"/>
        </w:rPr>
        <w:t>：</w:t>
      </w:r>
      <w:r>
        <w:rPr>
          <w:rFonts w:hint="eastAsia"/>
          <w:sz w:val="24"/>
          <w:szCs w:val="24"/>
        </w:rPr>
        <w:t xml:space="preserve">辽宁省科学技术进步奖 </w:t>
      </w:r>
      <w:r>
        <w:rPr>
          <w:rFonts w:hint="eastAsia"/>
          <w:sz w:val="24"/>
          <w:szCs w:val="24"/>
          <w:lang w:val="en-US" w:eastAsia="zh-CN"/>
        </w:rPr>
        <w:t>三</w:t>
      </w:r>
      <w:r>
        <w:rPr>
          <w:rFonts w:hint="eastAsia"/>
          <w:sz w:val="24"/>
          <w:szCs w:val="24"/>
        </w:rPr>
        <w:t>等奖</w:t>
      </w:r>
    </w:p>
    <w:p>
      <w:pPr>
        <w:adjustRightInd w:val="0"/>
        <w:snapToGrid w:val="0"/>
        <w:spacing w:line="240" w:lineRule="auto"/>
        <w:rPr>
          <w:sz w:val="24"/>
          <w:szCs w:val="24"/>
        </w:rPr>
      </w:pPr>
      <w:r>
        <w:rPr>
          <w:rFonts w:ascii="方正粗黑宋简体" w:hAnsi="方正粗黑宋简体" w:eastAsia="方正粗黑宋简体"/>
          <w:b/>
          <w:sz w:val="24"/>
          <w:szCs w:val="24"/>
        </w:rPr>
        <w:t>3.</w:t>
      </w:r>
      <w:r>
        <w:rPr>
          <w:rFonts w:hint="eastAsia" w:ascii="方正粗黑宋简体" w:hAnsi="方正粗黑宋简体" w:eastAsia="方正粗黑宋简体"/>
          <w:b/>
          <w:sz w:val="24"/>
          <w:szCs w:val="24"/>
        </w:rPr>
        <w:t>主要完成单位：</w:t>
      </w:r>
      <w:r>
        <w:rPr>
          <w:rFonts w:hint="eastAsia"/>
          <w:sz w:val="24"/>
          <w:szCs w:val="24"/>
        </w:rPr>
        <w:t>辽宁省建设科学研究院有限责任公司</w:t>
      </w:r>
      <w:r>
        <w:rPr>
          <w:rFonts w:hint="eastAsia"/>
          <w:sz w:val="24"/>
          <w:szCs w:val="24"/>
          <w:lang w:eastAsia="zh-CN"/>
        </w:rPr>
        <w:t>、</w:t>
      </w:r>
      <w:r>
        <w:rPr>
          <w:rFonts w:hint="eastAsia"/>
          <w:sz w:val="24"/>
          <w:szCs w:val="24"/>
        </w:rPr>
        <w:t>沈阳建筑大学</w:t>
      </w:r>
      <w:r>
        <w:rPr>
          <w:rFonts w:hint="eastAsia"/>
          <w:sz w:val="24"/>
          <w:szCs w:val="24"/>
          <w:lang w:eastAsia="zh-CN"/>
        </w:rPr>
        <w:t>、</w:t>
      </w:r>
      <w:r>
        <w:rPr>
          <w:rFonts w:hint="eastAsia"/>
          <w:sz w:val="24"/>
          <w:szCs w:val="24"/>
        </w:rPr>
        <w:t>辽宁建大产学研节能科技集团有限公司</w:t>
      </w:r>
    </w:p>
    <w:p>
      <w:pPr>
        <w:adjustRightInd w:val="0"/>
        <w:snapToGrid w:val="0"/>
        <w:spacing w:line="240" w:lineRule="auto"/>
        <w:rPr>
          <w:sz w:val="24"/>
          <w:szCs w:val="24"/>
        </w:rPr>
      </w:pPr>
      <w:r>
        <w:rPr>
          <w:rFonts w:ascii="方正粗黑宋简体" w:hAnsi="方正粗黑宋简体" w:eastAsia="方正粗黑宋简体"/>
          <w:b/>
          <w:sz w:val="24"/>
          <w:szCs w:val="24"/>
        </w:rPr>
        <w:t>4.</w:t>
      </w:r>
      <w:r>
        <w:rPr>
          <w:rFonts w:hint="eastAsia" w:ascii="方正粗黑宋简体" w:hAnsi="方正粗黑宋简体" w:eastAsia="方正粗黑宋简体"/>
          <w:b/>
          <w:sz w:val="24"/>
          <w:szCs w:val="24"/>
        </w:rPr>
        <w:t>主要完成人：</w:t>
      </w:r>
      <w:r>
        <w:rPr>
          <w:rFonts w:hint="eastAsia"/>
          <w:sz w:val="24"/>
          <w:szCs w:val="24"/>
        </w:rPr>
        <w:t>刘馨</w:t>
      </w:r>
      <w:r>
        <w:rPr>
          <w:rFonts w:hint="eastAsia"/>
          <w:sz w:val="24"/>
          <w:szCs w:val="24"/>
          <w:lang w:eastAsia="zh-CN"/>
        </w:rPr>
        <w:t>、</w:t>
      </w:r>
      <w:r>
        <w:rPr>
          <w:rFonts w:hint="eastAsia"/>
          <w:sz w:val="24"/>
          <w:szCs w:val="24"/>
        </w:rPr>
        <w:t>朱宝旭</w:t>
      </w:r>
      <w:r>
        <w:rPr>
          <w:rFonts w:hint="eastAsia"/>
          <w:sz w:val="24"/>
          <w:szCs w:val="24"/>
          <w:lang w:eastAsia="zh-CN"/>
        </w:rPr>
        <w:t>、</w:t>
      </w:r>
      <w:r>
        <w:rPr>
          <w:rFonts w:hint="eastAsia"/>
          <w:sz w:val="24"/>
          <w:szCs w:val="24"/>
        </w:rPr>
        <w:t>王梽炜</w:t>
      </w:r>
      <w:r>
        <w:rPr>
          <w:rFonts w:hint="eastAsia"/>
          <w:sz w:val="24"/>
          <w:szCs w:val="24"/>
          <w:lang w:eastAsia="zh-CN"/>
        </w:rPr>
        <w:t>、</w:t>
      </w:r>
      <w:r>
        <w:rPr>
          <w:rFonts w:hint="eastAsia"/>
          <w:sz w:val="24"/>
          <w:szCs w:val="24"/>
        </w:rPr>
        <w:t>赵志南</w:t>
      </w:r>
      <w:r>
        <w:rPr>
          <w:rFonts w:hint="eastAsia"/>
          <w:sz w:val="24"/>
          <w:szCs w:val="24"/>
          <w:lang w:eastAsia="zh-CN"/>
        </w:rPr>
        <w:t>、</w:t>
      </w:r>
      <w:r>
        <w:rPr>
          <w:rFonts w:hint="eastAsia"/>
          <w:sz w:val="24"/>
          <w:szCs w:val="24"/>
        </w:rPr>
        <w:t>王晨辰</w:t>
      </w:r>
      <w:r>
        <w:rPr>
          <w:rFonts w:hint="eastAsia"/>
          <w:sz w:val="24"/>
          <w:szCs w:val="24"/>
          <w:lang w:eastAsia="zh-CN"/>
        </w:rPr>
        <w:t>、</w:t>
      </w:r>
      <w:r>
        <w:rPr>
          <w:rFonts w:hint="eastAsia"/>
          <w:sz w:val="24"/>
          <w:szCs w:val="24"/>
        </w:rPr>
        <w:t>张骁</w:t>
      </w:r>
      <w:r>
        <w:rPr>
          <w:rFonts w:hint="eastAsia"/>
          <w:sz w:val="24"/>
          <w:szCs w:val="24"/>
          <w:lang w:eastAsia="zh-CN"/>
        </w:rPr>
        <w:t>、</w:t>
      </w:r>
      <w:r>
        <w:rPr>
          <w:rFonts w:hint="eastAsia"/>
          <w:sz w:val="24"/>
          <w:szCs w:val="24"/>
        </w:rPr>
        <w:t>姜</w:t>
      </w:r>
      <w:r>
        <w:rPr>
          <w:sz w:val="24"/>
          <w:szCs w:val="24"/>
        </w:rPr>
        <w:t>明超</w:t>
      </w:r>
    </w:p>
    <w:p>
      <w:pPr>
        <w:adjustRightInd w:val="0"/>
        <w:snapToGrid w:val="0"/>
        <w:spacing w:line="240" w:lineRule="auto"/>
        <w:rPr>
          <w:rFonts w:hint="eastAsia" w:ascii="方正粗黑宋简体" w:hAnsi="方正粗黑宋简体" w:eastAsia="方正粗黑宋简体"/>
          <w:b/>
          <w:sz w:val="24"/>
          <w:szCs w:val="24"/>
        </w:rPr>
      </w:pPr>
      <w:r>
        <w:rPr>
          <w:rFonts w:ascii="方正粗黑宋简体" w:hAnsi="方正粗黑宋简体" w:eastAsia="方正粗黑宋简体"/>
          <w:b/>
          <w:sz w:val="24"/>
          <w:szCs w:val="24"/>
        </w:rPr>
        <w:t>5.</w:t>
      </w:r>
      <w:r>
        <w:rPr>
          <w:rFonts w:hint="eastAsia" w:ascii="方正粗黑宋简体" w:hAnsi="方正粗黑宋简体" w:eastAsia="方正粗黑宋简体"/>
          <w:b/>
          <w:sz w:val="24"/>
          <w:szCs w:val="24"/>
        </w:rPr>
        <w:t>项目简介：</w:t>
      </w:r>
    </w:p>
    <w:p>
      <w:pPr>
        <w:autoSpaceDE w:val="0"/>
        <w:spacing w:line="240" w:lineRule="auto"/>
        <w:ind w:firstLine="480" w:firstLineChars="200"/>
        <w:rPr>
          <w:sz w:val="24"/>
          <w:szCs w:val="24"/>
        </w:rPr>
      </w:pPr>
      <w:r>
        <w:rPr>
          <w:sz w:val="24"/>
          <w:szCs w:val="24"/>
        </w:rPr>
        <w:t>加快</w:t>
      </w:r>
      <w:r>
        <w:rPr>
          <w:rFonts w:hint="eastAsia"/>
          <w:sz w:val="24"/>
          <w:szCs w:val="24"/>
        </w:rPr>
        <w:t>构建新型</w:t>
      </w:r>
      <w:r>
        <w:rPr>
          <w:sz w:val="24"/>
          <w:szCs w:val="24"/>
        </w:rPr>
        <w:t>能源体系，稳妥推进能源绿色低碳转型，持续优化能源结构是实现我国</w:t>
      </w:r>
      <w:r>
        <w:rPr>
          <w:rFonts w:hint="eastAsia"/>
          <w:sz w:val="24"/>
          <w:szCs w:val="24"/>
        </w:rPr>
        <w:t>能源法</w:t>
      </w:r>
      <w:r>
        <w:rPr>
          <w:sz w:val="24"/>
          <w:szCs w:val="24"/>
        </w:rPr>
        <w:t>的重要战略决策</w:t>
      </w:r>
      <w:bookmarkStart w:id="4" w:name="_GoBack"/>
      <w:bookmarkEnd w:id="4"/>
      <w:r>
        <w:rPr>
          <w:sz w:val="24"/>
          <w:szCs w:val="24"/>
        </w:rPr>
        <w:t>。加快提升北方地区供给侧能源的高效利用水平，大力发展非化石能源，发挥多能源梯级利用能力，提高能源利用效率，对实现我国碳达峰、碳中和战略目标具有重要意义。</w:t>
      </w:r>
    </w:p>
    <w:p>
      <w:pPr>
        <w:autoSpaceDE w:val="0"/>
        <w:spacing w:line="240" w:lineRule="auto"/>
        <w:ind w:firstLine="480" w:firstLineChars="200"/>
        <w:rPr>
          <w:sz w:val="24"/>
          <w:szCs w:val="24"/>
        </w:rPr>
      </w:pPr>
      <w:r>
        <w:rPr>
          <w:sz w:val="24"/>
          <w:szCs w:val="24"/>
        </w:rPr>
        <w:t>在国家重点研发计划、国家自然科学基金等重点项目的资助下，将产-学-研-用结合，项目长期持续专注于严寒地区能源供给侧的储供热关键技术研发与工程应用工作，取得以下系统性创新成果：</w:t>
      </w:r>
    </w:p>
    <w:p>
      <w:pPr>
        <w:autoSpaceDE w:val="0"/>
        <w:spacing w:line="240" w:lineRule="auto"/>
        <w:ind w:firstLine="482" w:firstLineChars="200"/>
        <w:rPr>
          <w:sz w:val="24"/>
          <w:szCs w:val="24"/>
        </w:rPr>
      </w:pPr>
      <w:r>
        <w:rPr>
          <w:rFonts w:hint="eastAsia"/>
          <w:b/>
          <w:sz w:val="24"/>
          <w:szCs w:val="24"/>
          <w:lang w:val="en-US" w:eastAsia="zh-CN"/>
        </w:rPr>
        <w:t>1.</w:t>
      </w:r>
      <w:r>
        <w:rPr>
          <w:b/>
          <w:sz w:val="24"/>
          <w:szCs w:val="24"/>
        </w:rPr>
        <w:t>研究多因素耦合作用下的建筑能耗特性，分析关键气象参数与能源供给侧的相关性强弱并利用预测模型预测负荷，</w:t>
      </w:r>
      <w:r>
        <w:rPr>
          <w:rFonts w:hint="eastAsia"/>
          <w:b/>
          <w:sz w:val="24"/>
          <w:szCs w:val="24"/>
        </w:rPr>
        <w:t>实现</w:t>
      </w:r>
      <w:r>
        <w:rPr>
          <w:b/>
          <w:sz w:val="24"/>
          <w:szCs w:val="24"/>
        </w:rPr>
        <w:t>供热负荷精准预测，为能源供给侧的智能优化策略提供依据。</w:t>
      </w:r>
      <w:r>
        <w:rPr>
          <w:sz w:val="24"/>
          <w:szCs w:val="24"/>
        </w:rPr>
        <w:t>分析常规工况下设计负荷对能源供给侧关键参数的影响，限定极端工况下能源供给侧负荷消纳能力，研发严寒地区建筑的高性能围护结构构筑方法与实践工艺，建筑本体节能率可达35%以上；外墙、屋顶及外窗在能源供给侧节能中的贡献率分别为25.89%、10.03%和9.09%。</w:t>
      </w:r>
    </w:p>
    <w:p>
      <w:pPr>
        <w:autoSpaceDE w:val="0"/>
        <w:spacing w:line="240" w:lineRule="auto"/>
        <w:ind w:firstLine="482" w:firstLineChars="200"/>
        <w:rPr>
          <w:sz w:val="24"/>
          <w:szCs w:val="24"/>
        </w:rPr>
      </w:pPr>
      <w:r>
        <w:rPr>
          <w:rFonts w:hint="eastAsia"/>
          <w:b/>
          <w:sz w:val="24"/>
          <w:szCs w:val="24"/>
          <w:lang w:val="en-US" w:eastAsia="zh-CN"/>
        </w:rPr>
        <w:t>2.</w:t>
      </w:r>
      <w:r>
        <w:rPr>
          <w:b/>
          <w:sz w:val="24"/>
          <w:szCs w:val="24"/>
        </w:rPr>
        <w:t>基于对严寒地区能源供给侧的实地调研，分析单一可再生能源系统应用效果，</w:t>
      </w:r>
      <w:r>
        <w:rPr>
          <w:rFonts w:hint="eastAsia"/>
          <w:b/>
          <w:sz w:val="24"/>
          <w:szCs w:val="24"/>
        </w:rPr>
        <w:t>突破</w:t>
      </w:r>
      <w:r>
        <w:rPr>
          <w:b/>
          <w:sz w:val="24"/>
          <w:szCs w:val="24"/>
        </w:rPr>
        <w:t>传统热泵能源系统的</w:t>
      </w:r>
      <w:r>
        <w:rPr>
          <w:rFonts w:hint="eastAsia"/>
          <w:b/>
          <w:sz w:val="24"/>
          <w:szCs w:val="24"/>
        </w:rPr>
        <w:t>调控难度</w:t>
      </w:r>
      <w:r>
        <w:rPr>
          <w:b/>
          <w:sz w:val="24"/>
          <w:szCs w:val="24"/>
        </w:rPr>
        <w:t>大、能源浪费严重等局限</w:t>
      </w:r>
      <w:r>
        <w:rPr>
          <w:rFonts w:hint="eastAsia"/>
          <w:b/>
          <w:sz w:val="24"/>
          <w:szCs w:val="24"/>
        </w:rPr>
        <w:t>，为实现以可再生能源为主的多能源协同优化配置和梯级利用提供依据。</w:t>
      </w:r>
      <w:r>
        <w:rPr>
          <w:sz w:val="24"/>
          <w:szCs w:val="24"/>
        </w:rPr>
        <w:t>分析不同单一</w:t>
      </w:r>
      <w:r>
        <w:rPr>
          <w:bCs/>
          <w:sz w:val="24"/>
          <w:szCs w:val="24"/>
        </w:rPr>
        <w:t>可再生</w:t>
      </w:r>
      <w:r>
        <w:rPr>
          <w:sz w:val="24"/>
          <w:szCs w:val="24"/>
        </w:rPr>
        <w:t>能源热泵系统的应用效果，提出土壤源、污水源和空气源热泵实际运行中存在的问题，探究</w:t>
      </w:r>
      <w:r>
        <w:rPr>
          <w:bCs/>
          <w:sz w:val="24"/>
          <w:szCs w:val="24"/>
        </w:rPr>
        <w:t>不同热泵能源系统的</w:t>
      </w:r>
      <w:r>
        <w:rPr>
          <w:sz w:val="24"/>
          <w:szCs w:val="24"/>
        </w:rPr>
        <w:t>节能潜力。土壤源热泵系统通过控制室内温度可降低能耗22%；污水源热泵系统采用变频水泵可节约能耗14%；空气源热泵通过间歇供热方案可提高室内温度17%，同时降低系统能耗21%。</w:t>
      </w:r>
    </w:p>
    <w:p>
      <w:pPr>
        <w:autoSpaceDE w:val="0"/>
        <w:spacing w:line="240" w:lineRule="auto"/>
        <w:ind w:firstLine="482" w:firstLineChars="200"/>
        <w:rPr>
          <w:sz w:val="24"/>
          <w:szCs w:val="24"/>
        </w:rPr>
      </w:pPr>
      <w:r>
        <w:rPr>
          <w:rFonts w:hint="eastAsia"/>
          <w:b/>
          <w:sz w:val="24"/>
          <w:szCs w:val="24"/>
          <w:lang w:val="en-US" w:eastAsia="zh-CN"/>
        </w:rPr>
        <w:t>3.</w:t>
      </w:r>
      <w:r>
        <w:rPr>
          <w:b/>
          <w:sz w:val="24"/>
          <w:szCs w:val="24"/>
        </w:rPr>
        <w:t>建立可再生能源耦合供热系统模型，优化相变储能与多能耦合供热系统对不同模式间切换的控制参数，挖掘多能耦合供热系统的最大潜力</w:t>
      </w:r>
      <w:r>
        <w:rPr>
          <w:rFonts w:hint="eastAsia"/>
          <w:b/>
          <w:sz w:val="24"/>
          <w:szCs w:val="24"/>
        </w:rPr>
        <w:t>，</w:t>
      </w:r>
      <w:r>
        <w:rPr>
          <w:b/>
          <w:sz w:val="24"/>
          <w:szCs w:val="24"/>
        </w:rPr>
        <w:t>研</w:t>
      </w:r>
      <w:r>
        <w:rPr>
          <w:rFonts w:hint="eastAsia"/>
          <w:b/>
          <w:sz w:val="24"/>
          <w:szCs w:val="24"/>
        </w:rPr>
        <w:t>发</w:t>
      </w:r>
      <w:r>
        <w:rPr>
          <w:b/>
          <w:sz w:val="24"/>
          <w:szCs w:val="24"/>
        </w:rPr>
        <w:t>基于数据挖掘的智慧供热技术。</w:t>
      </w:r>
      <w:r>
        <w:rPr>
          <w:sz w:val="24"/>
          <w:szCs w:val="24"/>
        </w:rPr>
        <w:t>多能耦合供热系统可以实现各种能源的协同优化，提高能源的综合利用水平。通过对7种可再生能源耦合供热系统性能和经济效益分析，光伏光热-双源热泵系统（PVT-DSHP）系统性能为2.80，静投资回收期最短为8.81年，</w:t>
      </w:r>
      <w:r>
        <w:rPr>
          <w:bCs/>
          <w:sz w:val="24"/>
          <w:szCs w:val="24"/>
        </w:rPr>
        <w:t>零能耗运行的</w:t>
      </w:r>
      <w:r>
        <w:rPr>
          <w:sz w:val="24"/>
          <w:szCs w:val="24"/>
        </w:rPr>
        <w:t>潜力值最大为0.6603。优化相变储能技术与多能耦合供热系统的控制参数，耦合供热系统的月平均COP最高为3.640，最低为2.548；土壤温度由11.2</w:t>
      </w:r>
      <w:r>
        <w:rPr>
          <w:rFonts w:hint="eastAsia" w:ascii="宋体" w:hAnsi="宋体" w:cs="宋体"/>
          <w:sz w:val="24"/>
          <w:szCs w:val="24"/>
        </w:rPr>
        <w:t>℃</w:t>
      </w:r>
      <w:r>
        <w:rPr>
          <w:sz w:val="24"/>
          <w:szCs w:val="24"/>
        </w:rPr>
        <w:t>升高到11.79</w:t>
      </w:r>
      <w:r>
        <w:rPr>
          <w:rFonts w:hint="eastAsia" w:ascii="宋体" w:hAnsi="宋体" w:cs="宋体"/>
          <w:sz w:val="24"/>
          <w:szCs w:val="24"/>
        </w:rPr>
        <w:t>℃</w:t>
      </w:r>
      <w:r>
        <w:rPr>
          <w:sz w:val="24"/>
          <w:szCs w:val="24"/>
        </w:rPr>
        <w:t>，土壤温度经过一年运行后提升了5.27%。</w:t>
      </w:r>
    </w:p>
    <w:p>
      <w:pPr>
        <w:autoSpaceDE w:val="0"/>
        <w:spacing w:line="240" w:lineRule="auto"/>
        <w:ind w:firstLine="480" w:firstLineChars="200"/>
        <w:rPr>
          <w:sz w:val="24"/>
          <w:szCs w:val="24"/>
        </w:rPr>
      </w:pPr>
      <w:r>
        <w:rPr>
          <w:sz w:val="24"/>
          <w:szCs w:val="24"/>
        </w:rPr>
        <w:t>目前以获授权发明专利4项，实用新型专利10项，标准规范5部，软件著作权8项，发表学术论文26篇，其中SCI及EI等英文核心学术论文收录7篇。项目在先进技术、软件著作、工程应用与智慧</w:t>
      </w:r>
      <w:r>
        <w:rPr>
          <w:rFonts w:hint="eastAsia"/>
          <w:sz w:val="24"/>
          <w:szCs w:val="24"/>
        </w:rPr>
        <w:t>供热</w:t>
      </w:r>
      <w:r>
        <w:rPr>
          <w:sz w:val="24"/>
          <w:szCs w:val="24"/>
        </w:rPr>
        <w:t>等方面有所突破和创新。</w:t>
      </w:r>
    </w:p>
    <w:p>
      <w:pPr>
        <w:pStyle w:val="2"/>
      </w:pPr>
    </w:p>
    <w:p>
      <w:pPr>
        <w:pStyle w:val="2"/>
        <w:rPr>
          <w:rFonts w:hint="eastAsia"/>
        </w:rPr>
      </w:pPr>
    </w:p>
    <w:p>
      <w:pPr>
        <w:pStyle w:val="10"/>
        <w:adjustRightInd w:val="0"/>
        <w:snapToGrid w:val="0"/>
        <w:spacing w:line="240" w:lineRule="auto"/>
        <w:ind w:firstLine="0" w:firstLineChars="0"/>
        <w:jc w:val="center"/>
        <w:outlineLvl w:val="0"/>
        <w:rPr>
          <w:rFonts w:hint="eastAsia" w:ascii="Times New Roman" w:eastAsia="方正小标宋简体"/>
          <w:w w:val="80"/>
          <w:sz w:val="44"/>
          <w:szCs w:val="44"/>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hint="eastAsia"/>
          <w:b/>
          <w:color w:val="000000"/>
          <w:sz w:val="28"/>
        </w:rPr>
      </w:pPr>
      <w:r>
        <w:rPr>
          <w:rFonts w:hint="eastAsia" w:ascii="方正粗黑宋简体" w:hAnsi="方正粗黑宋简体" w:eastAsia="方正粗黑宋简体"/>
          <w:b/>
          <w:sz w:val="24"/>
          <w:szCs w:val="24"/>
        </w:rPr>
        <w:t>6</w:t>
      </w:r>
      <w:r>
        <w:rPr>
          <w:rFonts w:ascii="方正粗黑宋简体" w:hAnsi="方正粗黑宋简体" w:eastAsia="方正粗黑宋简体"/>
          <w:b/>
          <w:sz w:val="24"/>
          <w:szCs w:val="24"/>
        </w:rPr>
        <w:t>.主要知识产权和标准规范等目录（不超过10件）</w:t>
      </w:r>
    </w:p>
    <w:bookmarkEnd w:id="1"/>
    <w:bookmarkEnd w:id="2"/>
    <w:bookmarkEnd w:id="3"/>
    <w:tbl>
      <w:tblPr>
        <w:tblStyle w:val="7"/>
        <w:tblW w:w="10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78"/>
        <w:gridCol w:w="2126"/>
        <w:gridCol w:w="683"/>
        <w:gridCol w:w="1148"/>
        <w:gridCol w:w="994"/>
        <w:gridCol w:w="1112"/>
        <w:gridCol w:w="1449"/>
        <w:gridCol w:w="896"/>
        <w:gridCol w:w="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7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知识产权</w:t>
            </w:r>
            <w:r>
              <w:rPr>
                <w:rFonts w:hint="eastAsia" w:ascii="Times New Roman"/>
                <w:sz w:val="21"/>
                <w:szCs w:val="21"/>
              </w:rPr>
              <w:t>（</w:t>
            </w:r>
            <w:r>
              <w:rPr>
                <w:rFonts w:ascii="Times New Roman"/>
                <w:sz w:val="21"/>
                <w:szCs w:val="21"/>
              </w:rPr>
              <w:t>标准</w:t>
            </w:r>
            <w:r>
              <w:rPr>
                <w:rFonts w:hint="eastAsia" w:ascii="Times New Roman"/>
                <w:sz w:val="21"/>
                <w:szCs w:val="21"/>
              </w:rPr>
              <w:t>）</w:t>
            </w:r>
          </w:p>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类别</w:t>
            </w:r>
          </w:p>
        </w:tc>
        <w:tc>
          <w:tcPr>
            <w:tcW w:w="212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知识产权</w:t>
            </w:r>
            <w:r>
              <w:rPr>
                <w:rFonts w:hint="eastAsia" w:ascii="Times New Roman"/>
                <w:sz w:val="21"/>
                <w:szCs w:val="21"/>
              </w:rPr>
              <w:t>（</w:t>
            </w:r>
            <w:r>
              <w:rPr>
                <w:rFonts w:ascii="Times New Roman"/>
                <w:sz w:val="21"/>
                <w:szCs w:val="21"/>
              </w:rPr>
              <w:t>标准</w:t>
            </w:r>
            <w:r>
              <w:rPr>
                <w:rFonts w:hint="eastAsia" w:ascii="Times New Roman"/>
                <w:sz w:val="21"/>
                <w:szCs w:val="21"/>
              </w:rPr>
              <w:t>）</w:t>
            </w:r>
          </w:p>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具体名称</w:t>
            </w:r>
          </w:p>
        </w:tc>
        <w:tc>
          <w:tcPr>
            <w:tcW w:w="683"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国家</w:t>
            </w:r>
          </w:p>
          <w:p>
            <w:pPr>
              <w:pStyle w:val="4"/>
              <w:adjustRightInd w:val="0"/>
              <w:snapToGrid w:val="0"/>
              <w:spacing w:line="240" w:lineRule="auto"/>
              <w:ind w:firstLine="0" w:firstLineChars="0"/>
              <w:jc w:val="center"/>
              <w:rPr>
                <w:rFonts w:ascii="Times New Roman"/>
                <w:sz w:val="21"/>
                <w:szCs w:val="21"/>
              </w:rPr>
            </w:pPr>
            <w:r>
              <w:rPr>
                <w:rFonts w:hint="eastAsia" w:ascii="Times New Roman"/>
                <w:sz w:val="21"/>
                <w:szCs w:val="21"/>
              </w:rPr>
              <w:t>（</w:t>
            </w:r>
            <w:r>
              <w:rPr>
                <w:rFonts w:ascii="Times New Roman"/>
                <w:sz w:val="21"/>
                <w:szCs w:val="21"/>
              </w:rPr>
              <w:t>地区</w:t>
            </w:r>
            <w:r>
              <w:rPr>
                <w:rFonts w:hint="eastAsia" w:ascii="Times New Roman"/>
                <w:sz w:val="21"/>
                <w:szCs w:val="21"/>
              </w:rPr>
              <w:t>）</w:t>
            </w:r>
          </w:p>
        </w:tc>
        <w:tc>
          <w:tcPr>
            <w:tcW w:w="114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授权号</w:t>
            </w:r>
          </w:p>
          <w:p>
            <w:pPr>
              <w:pStyle w:val="4"/>
              <w:adjustRightInd w:val="0"/>
              <w:snapToGrid w:val="0"/>
              <w:spacing w:line="240" w:lineRule="auto"/>
              <w:ind w:firstLine="0" w:firstLineChars="0"/>
              <w:jc w:val="center"/>
              <w:rPr>
                <w:rFonts w:ascii="Times New Roman"/>
                <w:sz w:val="21"/>
                <w:szCs w:val="21"/>
              </w:rPr>
            </w:pPr>
            <w:r>
              <w:rPr>
                <w:rFonts w:hint="eastAsia" w:ascii="Times New Roman"/>
                <w:sz w:val="21"/>
                <w:szCs w:val="21"/>
              </w:rPr>
              <w:t>（</w:t>
            </w:r>
            <w:r>
              <w:rPr>
                <w:rFonts w:ascii="Times New Roman"/>
                <w:sz w:val="21"/>
                <w:szCs w:val="21"/>
              </w:rPr>
              <w:t>标准编号</w:t>
            </w:r>
            <w:r>
              <w:rPr>
                <w:rFonts w:hint="eastAsia" w:ascii="Times New Roman"/>
                <w:sz w:val="21"/>
                <w:szCs w:val="21"/>
              </w:rPr>
              <w:t>）</w:t>
            </w:r>
          </w:p>
        </w:tc>
        <w:tc>
          <w:tcPr>
            <w:tcW w:w="994"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授权</w:t>
            </w:r>
            <w:r>
              <w:rPr>
                <w:rFonts w:hint="eastAsia" w:ascii="Times New Roman"/>
                <w:sz w:val="21"/>
                <w:szCs w:val="21"/>
              </w:rPr>
              <w:t>（</w:t>
            </w:r>
            <w:r>
              <w:rPr>
                <w:rFonts w:ascii="Times New Roman"/>
                <w:sz w:val="21"/>
                <w:szCs w:val="21"/>
              </w:rPr>
              <w:t>标准发布</w:t>
            </w:r>
            <w:r>
              <w:rPr>
                <w:rFonts w:hint="eastAsia" w:ascii="Times New Roman"/>
                <w:sz w:val="21"/>
                <w:szCs w:val="21"/>
              </w:rPr>
              <w:t>）</w:t>
            </w:r>
            <w:r>
              <w:rPr>
                <w:rFonts w:ascii="Times New Roman"/>
                <w:sz w:val="21"/>
                <w:szCs w:val="21"/>
              </w:rPr>
              <w:t>日期</w:t>
            </w:r>
          </w:p>
        </w:tc>
        <w:tc>
          <w:tcPr>
            <w:tcW w:w="111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证书编号</w:t>
            </w:r>
            <w:r>
              <w:rPr>
                <w:rFonts w:hint="eastAsia" w:ascii="Times New Roman"/>
                <w:sz w:val="21"/>
                <w:szCs w:val="21"/>
              </w:rPr>
              <w:t>（</w:t>
            </w:r>
            <w:r>
              <w:rPr>
                <w:rFonts w:ascii="Times New Roman"/>
                <w:sz w:val="21"/>
                <w:szCs w:val="21"/>
              </w:rPr>
              <w:t>标准批准发布部门</w:t>
            </w:r>
            <w:r>
              <w:rPr>
                <w:rFonts w:hint="eastAsia" w:ascii="Times New Roman"/>
                <w:sz w:val="21"/>
                <w:szCs w:val="21"/>
              </w:rPr>
              <w:t>）</w:t>
            </w:r>
          </w:p>
        </w:tc>
        <w:tc>
          <w:tcPr>
            <w:tcW w:w="1449"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权利人</w:t>
            </w:r>
            <w:r>
              <w:rPr>
                <w:rFonts w:hint="eastAsia" w:ascii="Times New Roman"/>
                <w:sz w:val="21"/>
                <w:szCs w:val="21"/>
              </w:rPr>
              <w:t>（</w:t>
            </w:r>
            <w:r>
              <w:rPr>
                <w:rFonts w:ascii="Times New Roman"/>
                <w:sz w:val="21"/>
                <w:szCs w:val="21"/>
              </w:rPr>
              <w:t>标准起草单位</w:t>
            </w:r>
            <w:r>
              <w:rPr>
                <w:rFonts w:hint="eastAsia" w:ascii="Times New Roman"/>
                <w:sz w:val="21"/>
                <w:szCs w:val="21"/>
              </w:rPr>
              <w:t>）</w:t>
            </w:r>
          </w:p>
        </w:tc>
        <w:tc>
          <w:tcPr>
            <w:tcW w:w="89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发明人</w:t>
            </w:r>
            <w:r>
              <w:rPr>
                <w:rFonts w:hint="eastAsia" w:ascii="Times New Roman"/>
                <w:sz w:val="21"/>
                <w:szCs w:val="21"/>
              </w:rPr>
              <w:t>（</w:t>
            </w:r>
            <w:r>
              <w:rPr>
                <w:rFonts w:ascii="Times New Roman"/>
                <w:sz w:val="21"/>
                <w:szCs w:val="21"/>
              </w:rPr>
              <w:t>标准起草人</w:t>
            </w:r>
            <w:r>
              <w:rPr>
                <w:rFonts w:hint="eastAsia" w:ascii="Times New Roman"/>
                <w:sz w:val="21"/>
                <w:szCs w:val="21"/>
              </w:rPr>
              <w:t>）</w:t>
            </w:r>
          </w:p>
        </w:tc>
        <w:tc>
          <w:tcPr>
            <w:tcW w:w="95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发明专利</w:t>
            </w:r>
            <w:r>
              <w:rPr>
                <w:rFonts w:hint="eastAsia" w:ascii="Times New Roman"/>
                <w:sz w:val="21"/>
                <w:szCs w:val="21"/>
              </w:rPr>
              <w:t>（</w:t>
            </w:r>
            <w:r>
              <w:rPr>
                <w:rFonts w:ascii="Times New Roman"/>
                <w:sz w:val="21"/>
                <w:szCs w:val="21"/>
              </w:rPr>
              <w:t>标准</w:t>
            </w:r>
            <w:r>
              <w:rPr>
                <w:rFonts w:hint="eastAsia" w:ascii="Times New Roman"/>
                <w:sz w:val="21"/>
                <w:szCs w:val="21"/>
              </w:rPr>
              <w:t>）</w:t>
            </w:r>
            <w:r>
              <w:rPr>
                <w:rFonts w:ascii="Times New Roman"/>
                <w:sz w:val="21"/>
                <w:szCs w:val="21"/>
              </w:rPr>
              <w:t>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7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发明专利</w:t>
            </w:r>
          </w:p>
        </w:tc>
        <w:tc>
          <w:tcPr>
            <w:tcW w:w="212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iCs/>
                <w:sz w:val="21"/>
                <w:szCs w:val="21"/>
              </w:rPr>
              <w:t>一种可变储热量的相变水箱</w:t>
            </w:r>
          </w:p>
        </w:tc>
        <w:tc>
          <w:tcPr>
            <w:tcW w:w="683"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iCs/>
                <w:sz w:val="21"/>
                <w:szCs w:val="21"/>
              </w:rPr>
              <w:t>ZL 2020 1 0298605.9</w:t>
            </w:r>
          </w:p>
        </w:tc>
        <w:tc>
          <w:tcPr>
            <w:tcW w:w="994"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2023年04月30日</w:t>
            </w:r>
          </w:p>
        </w:tc>
        <w:tc>
          <w:tcPr>
            <w:tcW w:w="111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6953189</w:t>
            </w:r>
          </w:p>
        </w:tc>
        <w:tc>
          <w:tcPr>
            <w:tcW w:w="1449"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vAlign w:val="center"/>
          </w:tcPr>
          <w:p>
            <w:pPr>
              <w:pStyle w:val="4"/>
              <w:adjustRightInd w:val="0"/>
              <w:snapToGrid w:val="0"/>
              <w:spacing w:line="240" w:lineRule="auto"/>
              <w:ind w:firstLine="0" w:firstLineChars="0"/>
              <w:jc w:val="center"/>
              <w:rPr>
                <w:rFonts w:hint="eastAsia" w:ascii="Times New Roman" w:eastAsia="宋体"/>
                <w:sz w:val="21"/>
                <w:szCs w:val="21"/>
                <w:lang w:val="en-US" w:eastAsia="zh-CN"/>
              </w:rPr>
            </w:pPr>
            <w:r>
              <w:rPr>
                <w:rFonts w:ascii="Times New Roman"/>
                <w:sz w:val="21"/>
                <w:szCs w:val="21"/>
              </w:rPr>
              <w:t>刘馨</w:t>
            </w:r>
            <w:r>
              <w:rPr>
                <w:rFonts w:hint="eastAsia" w:ascii="Times New Roman"/>
                <w:sz w:val="21"/>
                <w:szCs w:val="21"/>
                <w:lang w:val="en-US" w:eastAsia="zh-CN"/>
              </w:rPr>
              <w:t>等</w:t>
            </w:r>
          </w:p>
        </w:tc>
        <w:tc>
          <w:tcPr>
            <w:tcW w:w="95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97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标准规范</w:t>
            </w:r>
          </w:p>
        </w:tc>
        <w:tc>
          <w:tcPr>
            <w:tcW w:w="2126"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地源热泵系统工程检测技术规程</w:t>
            </w:r>
          </w:p>
        </w:tc>
        <w:tc>
          <w:tcPr>
            <w:tcW w:w="683"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DB21/T2618-2016</w:t>
            </w:r>
          </w:p>
        </w:tc>
        <w:tc>
          <w:tcPr>
            <w:tcW w:w="994"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2016年04月26日</w:t>
            </w:r>
          </w:p>
        </w:tc>
        <w:tc>
          <w:tcPr>
            <w:tcW w:w="111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辽宁省住房和城乡建设厅</w:t>
            </w:r>
          </w:p>
        </w:tc>
        <w:tc>
          <w:tcPr>
            <w:tcW w:w="1449"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辽宁省建设科学研究院有限责任公司</w:t>
            </w:r>
          </w:p>
        </w:tc>
        <w:tc>
          <w:tcPr>
            <w:tcW w:w="896" w:type="dxa"/>
            <w:shd w:val="clear" w:color="auto" w:fill="auto"/>
            <w:vAlign w:val="center"/>
          </w:tcPr>
          <w:p>
            <w:pPr>
              <w:pStyle w:val="4"/>
              <w:adjustRightInd w:val="0"/>
              <w:snapToGrid w:val="0"/>
              <w:spacing w:line="240" w:lineRule="auto"/>
              <w:ind w:firstLine="0" w:firstLineChars="0"/>
              <w:jc w:val="center"/>
              <w:rPr>
                <w:rFonts w:hint="eastAsia" w:ascii="Times New Roman" w:eastAsia="宋体"/>
                <w:sz w:val="21"/>
                <w:szCs w:val="21"/>
                <w:lang w:val="en-US" w:eastAsia="zh-CN"/>
              </w:rPr>
            </w:pPr>
            <w:r>
              <w:rPr>
                <w:rFonts w:ascii="Times New Roman"/>
                <w:sz w:val="21"/>
                <w:szCs w:val="21"/>
              </w:rPr>
              <w:t>朱宝旭</w:t>
            </w:r>
            <w:r>
              <w:rPr>
                <w:rFonts w:hint="eastAsia" w:ascii="Times New Roman"/>
                <w:sz w:val="21"/>
                <w:szCs w:val="21"/>
                <w:lang w:val="en-US" w:eastAsia="zh-CN"/>
              </w:rPr>
              <w:t>等</w:t>
            </w:r>
          </w:p>
        </w:tc>
        <w:tc>
          <w:tcPr>
            <w:tcW w:w="95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97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标准规范</w:t>
            </w:r>
          </w:p>
        </w:tc>
        <w:tc>
          <w:tcPr>
            <w:tcW w:w="2126"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农村住宅清洁供暖技术规程</w:t>
            </w:r>
          </w:p>
        </w:tc>
        <w:tc>
          <w:tcPr>
            <w:tcW w:w="683"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DB21/T3714-2023</w:t>
            </w:r>
          </w:p>
        </w:tc>
        <w:tc>
          <w:tcPr>
            <w:tcW w:w="994"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2023年04月30日</w:t>
            </w:r>
          </w:p>
        </w:tc>
        <w:tc>
          <w:tcPr>
            <w:tcW w:w="111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辽宁省住房和城乡建设厅</w:t>
            </w:r>
          </w:p>
        </w:tc>
        <w:tc>
          <w:tcPr>
            <w:tcW w:w="1449"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朱宝旭</w:t>
            </w:r>
          </w:p>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赵志南</w:t>
            </w:r>
          </w:p>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刘馨</w:t>
            </w:r>
          </w:p>
          <w:p>
            <w:pPr>
              <w:pStyle w:val="4"/>
              <w:adjustRightInd w:val="0"/>
              <w:snapToGrid w:val="0"/>
              <w:spacing w:line="240" w:lineRule="auto"/>
              <w:ind w:firstLine="0" w:firstLineChars="0"/>
              <w:jc w:val="center"/>
              <w:rPr>
                <w:rFonts w:hint="eastAsia" w:ascii="Times New Roman" w:eastAsia="宋体"/>
                <w:sz w:val="21"/>
                <w:szCs w:val="21"/>
                <w:lang w:val="en-US" w:eastAsia="zh-CN"/>
              </w:rPr>
            </w:pPr>
            <w:r>
              <w:rPr>
                <w:rFonts w:ascii="Times New Roman"/>
                <w:sz w:val="21"/>
                <w:szCs w:val="21"/>
              </w:rPr>
              <w:t>王梽炜</w:t>
            </w:r>
            <w:r>
              <w:rPr>
                <w:rFonts w:hint="eastAsia" w:ascii="Times New Roman"/>
                <w:sz w:val="21"/>
                <w:szCs w:val="21"/>
                <w:lang w:val="en-US" w:eastAsia="zh-CN"/>
              </w:rPr>
              <w:t>等</w:t>
            </w:r>
          </w:p>
        </w:tc>
        <w:tc>
          <w:tcPr>
            <w:tcW w:w="95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97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软件著作权</w:t>
            </w:r>
          </w:p>
        </w:tc>
        <w:tc>
          <w:tcPr>
            <w:tcW w:w="2126"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iCs/>
                <w:sz w:val="21"/>
                <w:szCs w:val="21"/>
              </w:rPr>
              <w:t>公共建筑本体节能率计算软件V1.0</w:t>
            </w:r>
          </w:p>
        </w:tc>
        <w:tc>
          <w:tcPr>
            <w:tcW w:w="683"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iCs/>
                <w:sz w:val="21"/>
                <w:szCs w:val="21"/>
              </w:rPr>
              <w:t>2023SR1100971</w:t>
            </w:r>
          </w:p>
        </w:tc>
        <w:tc>
          <w:tcPr>
            <w:tcW w:w="994"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2023年6月9日</w:t>
            </w:r>
          </w:p>
        </w:tc>
        <w:tc>
          <w:tcPr>
            <w:tcW w:w="111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11688144</w:t>
            </w:r>
          </w:p>
        </w:tc>
        <w:tc>
          <w:tcPr>
            <w:tcW w:w="1449"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shd w:val="clear" w:color="auto" w:fill="auto"/>
            <w:vAlign w:val="center"/>
          </w:tcPr>
          <w:p>
            <w:pPr>
              <w:adjustRightInd w:val="0"/>
              <w:snapToGrid w:val="0"/>
              <w:spacing w:line="240" w:lineRule="auto"/>
              <w:ind w:firstLine="0" w:firstLineChars="0"/>
              <w:jc w:val="center"/>
              <w:rPr>
                <w:rFonts w:ascii="Times New Roman"/>
                <w:sz w:val="21"/>
                <w:szCs w:val="21"/>
              </w:rPr>
            </w:pPr>
            <w:r>
              <w:rPr>
                <w:rFonts w:ascii="Times New Roman"/>
                <w:sz w:val="21"/>
                <w:szCs w:val="21"/>
              </w:rPr>
              <w:t>刘馨</w:t>
            </w:r>
            <w:r>
              <w:rPr>
                <w:rFonts w:hint="eastAsia" w:ascii="Times New Roman"/>
                <w:sz w:val="21"/>
                <w:szCs w:val="21"/>
                <w:lang w:val="en-US" w:eastAsia="zh-CN"/>
              </w:rPr>
              <w:t>等</w:t>
            </w:r>
          </w:p>
        </w:tc>
        <w:tc>
          <w:tcPr>
            <w:tcW w:w="95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97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软件著作权</w:t>
            </w:r>
          </w:p>
        </w:tc>
        <w:tc>
          <w:tcPr>
            <w:tcW w:w="2126"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建筑全寿命周期碳排放量核算及减碳潜力预测软件V1.0</w:t>
            </w:r>
          </w:p>
        </w:tc>
        <w:tc>
          <w:tcPr>
            <w:tcW w:w="683"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2022SR1213099</w:t>
            </w:r>
          </w:p>
        </w:tc>
        <w:tc>
          <w:tcPr>
            <w:tcW w:w="994"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2022年7月9日</w:t>
            </w:r>
          </w:p>
        </w:tc>
        <w:tc>
          <w:tcPr>
            <w:tcW w:w="111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10167298</w:t>
            </w:r>
          </w:p>
        </w:tc>
        <w:tc>
          <w:tcPr>
            <w:tcW w:w="1449"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shd w:val="clear" w:color="auto" w:fill="auto"/>
            <w:vAlign w:val="center"/>
          </w:tcPr>
          <w:p>
            <w:pPr>
              <w:adjustRightInd w:val="0"/>
              <w:snapToGrid w:val="0"/>
              <w:spacing w:line="240" w:lineRule="auto"/>
              <w:ind w:firstLine="0" w:firstLineChars="0"/>
              <w:jc w:val="center"/>
              <w:rPr>
                <w:rFonts w:ascii="Times New Roman"/>
                <w:sz w:val="21"/>
                <w:szCs w:val="21"/>
              </w:rPr>
            </w:pPr>
            <w:r>
              <w:rPr>
                <w:rFonts w:ascii="Times New Roman"/>
                <w:sz w:val="21"/>
                <w:szCs w:val="21"/>
              </w:rPr>
              <w:t>刘馨</w:t>
            </w:r>
            <w:r>
              <w:rPr>
                <w:rFonts w:hint="eastAsia" w:ascii="Times New Roman"/>
                <w:sz w:val="21"/>
                <w:szCs w:val="21"/>
                <w:lang w:val="en-US" w:eastAsia="zh-CN"/>
              </w:rPr>
              <w:t>等</w:t>
            </w:r>
          </w:p>
        </w:tc>
        <w:tc>
          <w:tcPr>
            <w:tcW w:w="95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97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软件著作权</w:t>
            </w:r>
          </w:p>
        </w:tc>
        <w:tc>
          <w:tcPr>
            <w:tcW w:w="2126"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公共机构高效节能关键技术评价体系软件</w:t>
            </w:r>
            <w:r>
              <w:rPr>
                <w:rFonts w:ascii="Times New Roman"/>
                <w:bCs/>
                <w:iCs/>
                <w:sz w:val="21"/>
                <w:szCs w:val="21"/>
              </w:rPr>
              <w:t>1.0</w:t>
            </w:r>
          </w:p>
        </w:tc>
        <w:tc>
          <w:tcPr>
            <w:tcW w:w="683"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2020SR1514168</w:t>
            </w:r>
          </w:p>
        </w:tc>
        <w:tc>
          <w:tcPr>
            <w:tcW w:w="994"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2020年10月20日</w:t>
            </w:r>
          </w:p>
        </w:tc>
        <w:tc>
          <w:tcPr>
            <w:tcW w:w="111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6315140</w:t>
            </w:r>
          </w:p>
        </w:tc>
        <w:tc>
          <w:tcPr>
            <w:tcW w:w="1449"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shd w:val="clear" w:color="auto" w:fill="auto"/>
            <w:vAlign w:val="center"/>
          </w:tcPr>
          <w:p>
            <w:pPr>
              <w:adjustRightInd w:val="0"/>
              <w:snapToGrid w:val="0"/>
              <w:spacing w:line="240" w:lineRule="auto"/>
              <w:ind w:firstLine="0" w:firstLineChars="0"/>
              <w:jc w:val="center"/>
              <w:rPr>
                <w:rFonts w:ascii="Times New Roman"/>
                <w:sz w:val="21"/>
                <w:szCs w:val="21"/>
              </w:rPr>
            </w:pPr>
            <w:r>
              <w:rPr>
                <w:rFonts w:ascii="Times New Roman"/>
                <w:sz w:val="21"/>
                <w:szCs w:val="21"/>
              </w:rPr>
              <w:t>刘馨</w:t>
            </w:r>
            <w:r>
              <w:rPr>
                <w:rFonts w:hint="eastAsia" w:ascii="Times New Roman"/>
                <w:sz w:val="21"/>
                <w:szCs w:val="21"/>
                <w:lang w:val="en-US" w:eastAsia="zh-CN"/>
              </w:rPr>
              <w:t>等</w:t>
            </w:r>
          </w:p>
        </w:tc>
        <w:tc>
          <w:tcPr>
            <w:tcW w:w="952" w:type="dxa"/>
            <w:shd w:val="clear" w:color="auto" w:fill="auto"/>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7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实用新型专利</w:t>
            </w:r>
          </w:p>
        </w:tc>
        <w:tc>
          <w:tcPr>
            <w:tcW w:w="212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一种太阳能室内供暖系统</w:t>
            </w:r>
          </w:p>
        </w:tc>
        <w:tc>
          <w:tcPr>
            <w:tcW w:w="683"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中国</w:t>
            </w:r>
          </w:p>
        </w:tc>
        <w:tc>
          <w:tcPr>
            <w:tcW w:w="114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ZL 2019 2 0380005.X</w:t>
            </w:r>
          </w:p>
        </w:tc>
        <w:tc>
          <w:tcPr>
            <w:tcW w:w="994" w:type="dxa"/>
            <w:vAlign w:val="center"/>
          </w:tcPr>
          <w:p>
            <w:pPr>
              <w:pStyle w:val="4"/>
              <w:adjustRightInd w:val="0"/>
              <w:snapToGrid w:val="0"/>
              <w:spacing w:line="240" w:lineRule="auto"/>
              <w:ind w:firstLine="0" w:firstLineChars="0"/>
              <w:jc w:val="center"/>
              <w:rPr>
                <w:rFonts w:hint="eastAsia" w:ascii="Times New Roman"/>
                <w:sz w:val="21"/>
                <w:szCs w:val="21"/>
              </w:rPr>
            </w:pPr>
            <w:r>
              <w:rPr>
                <w:rFonts w:ascii="Times New Roman"/>
                <w:bCs/>
                <w:iCs/>
                <w:sz w:val="21"/>
                <w:szCs w:val="21"/>
              </w:rPr>
              <w:t>2020</w:t>
            </w:r>
            <w:r>
              <w:rPr>
                <w:rFonts w:hint="eastAsia" w:ascii="Times New Roman"/>
                <w:bCs/>
                <w:iCs/>
                <w:sz w:val="21"/>
                <w:szCs w:val="21"/>
              </w:rPr>
              <w:t>年</w:t>
            </w:r>
            <w:r>
              <w:rPr>
                <w:rFonts w:ascii="Times New Roman"/>
                <w:bCs/>
                <w:iCs/>
                <w:sz w:val="21"/>
                <w:szCs w:val="21"/>
              </w:rPr>
              <w:t>02</w:t>
            </w:r>
            <w:r>
              <w:rPr>
                <w:rFonts w:hint="eastAsia" w:ascii="Times New Roman"/>
                <w:bCs/>
                <w:iCs/>
                <w:sz w:val="21"/>
                <w:szCs w:val="21"/>
              </w:rPr>
              <w:t>月</w:t>
            </w:r>
            <w:r>
              <w:rPr>
                <w:rFonts w:ascii="Times New Roman"/>
                <w:bCs/>
                <w:iCs/>
                <w:sz w:val="21"/>
                <w:szCs w:val="21"/>
              </w:rPr>
              <w:t>21</w:t>
            </w:r>
            <w:r>
              <w:rPr>
                <w:rFonts w:hint="eastAsia" w:ascii="Times New Roman"/>
                <w:bCs/>
                <w:iCs/>
                <w:sz w:val="21"/>
                <w:szCs w:val="21"/>
              </w:rPr>
              <w:t>日</w:t>
            </w:r>
          </w:p>
        </w:tc>
        <w:tc>
          <w:tcPr>
            <w:tcW w:w="111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10083932</w:t>
            </w:r>
          </w:p>
        </w:tc>
        <w:tc>
          <w:tcPr>
            <w:tcW w:w="1449"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vAlign w:val="center"/>
          </w:tcPr>
          <w:p>
            <w:pPr>
              <w:adjustRightInd w:val="0"/>
              <w:snapToGrid w:val="0"/>
              <w:spacing w:line="240" w:lineRule="auto"/>
              <w:ind w:firstLine="0" w:firstLineChars="0"/>
              <w:jc w:val="center"/>
              <w:rPr>
                <w:rFonts w:ascii="Times New Roman"/>
                <w:sz w:val="21"/>
                <w:szCs w:val="21"/>
              </w:rPr>
            </w:pPr>
            <w:r>
              <w:rPr>
                <w:rFonts w:ascii="Times New Roman"/>
                <w:sz w:val="21"/>
                <w:szCs w:val="21"/>
              </w:rPr>
              <w:t>刘馨</w:t>
            </w:r>
            <w:r>
              <w:rPr>
                <w:rFonts w:hint="eastAsia" w:ascii="Times New Roman"/>
                <w:sz w:val="21"/>
                <w:szCs w:val="21"/>
                <w:lang w:val="en-US" w:eastAsia="zh-CN"/>
              </w:rPr>
              <w:t>等</w:t>
            </w:r>
          </w:p>
        </w:tc>
        <w:tc>
          <w:tcPr>
            <w:tcW w:w="95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97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实用新型专利</w:t>
            </w:r>
          </w:p>
        </w:tc>
        <w:tc>
          <w:tcPr>
            <w:tcW w:w="212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一种冷热源系统流量测试装置</w:t>
            </w:r>
          </w:p>
        </w:tc>
        <w:tc>
          <w:tcPr>
            <w:tcW w:w="683"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中国</w:t>
            </w:r>
          </w:p>
        </w:tc>
        <w:tc>
          <w:tcPr>
            <w:tcW w:w="114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bCs/>
                <w:iCs/>
                <w:sz w:val="21"/>
                <w:szCs w:val="21"/>
              </w:rPr>
              <w:t>ZL 2020 2 0562963.1</w:t>
            </w:r>
          </w:p>
        </w:tc>
        <w:tc>
          <w:tcPr>
            <w:tcW w:w="994" w:type="dxa"/>
            <w:vAlign w:val="center"/>
          </w:tcPr>
          <w:p>
            <w:pPr>
              <w:pStyle w:val="4"/>
              <w:adjustRightInd w:val="0"/>
              <w:snapToGrid w:val="0"/>
              <w:spacing w:line="240" w:lineRule="auto"/>
              <w:ind w:firstLine="0" w:firstLineChars="0"/>
              <w:jc w:val="center"/>
              <w:rPr>
                <w:rFonts w:hint="eastAsia" w:ascii="Times New Roman"/>
                <w:sz w:val="21"/>
                <w:szCs w:val="21"/>
              </w:rPr>
            </w:pPr>
            <w:r>
              <w:rPr>
                <w:rFonts w:ascii="Times New Roman"/>
                <w:bCs/>
                <w:iCs/>
                <w:sz w:val="21"/>
                <w:szCs w:val="21"/>
              </w:rPr>
              <w:t>2020</w:t>
            </w:r>
            <w:r>
              <w:rPr>
                <w:rFonts w:hint="eastAsia" w:ascii="Times New Roman"/>
                <w:bCs/>
                <w:iCs/>
                <w:sz w:val="21"/>
                <w:szCs w:val="21"/>
              </w:rPr>
              <w:t>年</w:t>
            </w:r>
            <w:r>
              <w:rPr>
                <w:rFonts w:ascii="Times New Roman"/>
                <w:bCs/>
                <w:iCs/>
                <w:sz w:val="21"/>
                <w:szCs w:val="21"/>
              </w:rPr>
              <w:t>10</w:t>
            </w:r>
            <w:r>
              <w:rPr>
                <w:rFonts w:hint="eastAsia" w:ascii="Times New Roman"/>
                <w:bCs/>
                <w:iCs/>
                <w:sz w:val="21"/>
                <w:szCs w:val="21"/>
              </w:rPr>
              <w:t>月</w:t>
            </w:r>
            <w:r>
              <w:rPr>
                <w:rFonts w:ascii="Times New Roman"/>
                <w:bCs/>
                <w:iCs/>
                <w:sz w:val="21"/>
                <w:szCs w:val="21"/>
              </w:rPr>
              <w:t>16</w:t>
            </w:r>
            <w:r>
              <w:rPr>
                <w:rFonts w:hint="eastAsia" w:ascii="Times New Roman"/>
                <w:bCs/>
                <w:iCs/>
                <w:sz w:val="21"/>
                <w:szCs w:val="21"/>
              </w:rPr>
              <w:t>日</w:t>
            </w:r>
          </w:p>
        </w:tc>
        <w:tc>
          <w:tcPr>
            <w:tcW w:w="111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11685487</w:t>
            </w:r>
          </w:p>
        </w:tc>
        <w:tc>
          <w:tcPr>
            <w:tcW w:w="1449"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vAlign w:val="center"/>
          </w:tcPr>
          <w:p>
            <w:pPr>
              <w:adjustRightInd w:val="0"/>
              <w:snapToGrid w:val="0"/>
              <w:spacing w:line="240" w:lineRule="auto"/>
              <w:ind w:firstLine="0" w:firstLineChars="0"/>
              <w:jc w:val="center"/>
              <w:rPr>
                <w:rFonts w:ascii="Times New Roman"/>
                <w:sz w:val="21"/>
                <w:szCs w:val="21"/>
              </w:rPr>
            </w:pPr>
            <w:r>
              <w:rPr>
                <w:rFonts w:ascii="Times New Roman"/>
                <w:sz w:val="21"/>
                <w:szCs w:val="21"/>
              </w:rPr>
              <w:t>刘馨</w:t>
            </w:r>
            <w:r>
              <w:rPr>
                <w:rFonts w:hint="eastAsia" w:ascii="Times New Roman"/>
                <w:sz w:val="21"/>
                <w:szCs w:val="21"/>
                <w:lang w:val="en-US" w:eastAsia="zh-CN"/>
              </w:rPr>
              <w:t>等</w:t>
            </w:r>
          </w:p>
        </w:tc>
        <w:tc>
          <w:tcPr>
            <w:tcW w:w="95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97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实用新型专利</w:t>
            </w:r>
          </w:p>
        </w:tc>
        <w:tc>
          <w:tcPr>
            <w:tcW w:w="212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一种一体式空气源热泵与电磁能耦合采暖装置</w:t>
            </w:r>
          </w:p>
        </w:tc>
        <w:tc>
          <w:tcPr>
            <w:tcW w:w="683"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ZL 2021 2 0484115.8</w:t>
            </w:r>
          </w:p>
        </w:tc>
        <w:tc>
          <w:tcPr>
            <w:tcW w:w="994"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2021年11月05日</w:t>
            </w:r>
          </w:p>
        </w:tc>
        <w:tc>
          <w:tcPr>
            <w:tcW w:w="111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14587343</w:t>
            </w:r>
          </w:p>
        </w:tc>
        <w:tc>
          <w:tcPr>
            <w:tcW w:w="1449"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辽宁建大产学研节能科技集团有限公司</w:t>
            </w:r>
          </w:p>
        </w:tc>
        <w:tc>
          <w:tcPr>
            <w:tcW w:w="896"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王梽炜</w:t>
            </w:r>
          </w:p>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姜明超</w:t>
            </w:r>
          </w:p>
          <w:p>
            <w:pPr>
              <w:pStyle w:val="4"/>
              <w:adjustRightInd w:val="0"/>
              <w:snapToGrid w:val="0"/>
              <w:spacing w:line="240" w:lineRule="auto"/>
              <w:ind w:firstLine="0" w:firstLineChars="0"/>
              <w:jc w:val="center"/>
              <w:rPr>
                <w:rFonts w:hint="eastAsia" w:ascii="Times New Roman" w:eastAsia="宋体"/>
                <w:sz w:val="21"/>
                <w:szCs w:val="21"/>
                <w:lang w:eastAsia="zh-CN"/>
              </w:rPr>
            </w:pPr>
            <w:r>
              <w:rPr>
                <w:rFonts w:hint="eastAsia" w:ascii="Times New Roman"/>
                <w:sz w:val="21"/>
                <w:szCs w:val="21"/>
                <w:lang w:val="en-US" w:eastAsia="zh-CN"/>
              </w:rPr>
              <w:t>等</w:t>
            </w:r>
          </w:p>
        </w:tc>
        <w:tc>
          <w:tcPr>
            <w:tcW w:w="95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4" w:hRule="atLeast"/>
          <w:jc w:val="center"/>
        </w:trPr>
        <w:tc>
          <w:tcPr>
            <w:tcW w:w="978"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论文</w:t>
            </w:r>
          </w:p>
        </w:tc>
        <w:tc>
          <w:tcPr>
            <w:tcW w:w="2126" w:type="dxa"/>
            <w:vAlign w:val="center"/>
          </w:tcPr>
          <w:p>
            <w:pPr>
              <w:pStyle w:val="4"/>
              <w:adjustRightInd w:val="0"/>
              <w:snapToGrid w:val="0"/>
              <w:spacing w:line="240" w:lineRule="auto"/>
              <w:ind w:firstLine="0" w:firstLineChars="0"/>
              <w:jc w:val="center"/>
              <w:rPr>
                <w:rFonts w:ascii="Times New Roman"/>
                <w:bCs/>
                <w:iCs/>
                <w:sz w:val="21"/>
                <w:szCs w:val="21"/>
              </w:rPr>
            </w:pPr>
            <w:r>
              <w:rPr>
                <w:rFonts w:ascii="Times New Roman"/>
                <w:bCs/>
                <w:iCs/>
                <w:sz w:val="21"/>
                <w:szCs w:val="21"/>
              </w:rPr>
              <w:t>Differences between design expectations and actual operation of ground source heat pumps for green buildings in the cold region of northern China</w:t>
            </w:r>
          </w:p>
        </w:tc>
        <w:tc>
          <w:tcPr>
            <w:tcW w:w="683"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8" w:type="dxa"/>
            <w:vAlign w:val="center"/>
          </w:tcPr>
          <w:p>
            <w:pPr>
              <w:pStyle w:val="4"/>
              <w:adjustRightInd w:val="0"/>
              <w:snapToGrid w:val="0"/>
              <w:spacing w:line="240" w:lineRule="auto"/>
              <w:ind w:firstLine="0" w:firstLineChars="0"/>
              <w:jc w:val="center"/>
              <w:rPr>
                <w:rFonts w:ascii="Times New Roman"/>
                <w:bCs/>
                <w:iCs/>
                <w:sz w:val="21"/>
                <w:szCs w:val="21"/>
              </w:rPr>
            </w:pPr>
            <w:r>
              <w:rPr>
                <w:rFonts w:ascii="Times New Roman"/>
                <w:bCs/>
                <w:iCs/>
                <w:sz w:val="21"/>
                <w:szCs w:val="21"/>
              </w:rPr>
              <w:t>《Energy》2022年第252卷</w:t>
            </w:r>
          </w:p>
        </w:tc>
        <w:tc>
          <w:tcPr>
            <w:tcW w:w="994"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2022年08月01日</w:t>
            </w:r>
          </w:p>
        </w:tc>
        <w:tc>
          <w:tcPr>
            <w:tcW w:w="1112" w:type="dxa"/>
            <w:vAlign w:val="center"/>
          </w:tcPr>
          <w:p>
            <w:pPr>
              <w:pStyle w:val="4"/>
              <w:adjustRightInd w:val="0"/>
              <w:snapToGrid w:val="0"/>
              <w:spacing w:line="240" w:lineRule="auto"/>
              <w:ind w:firstLine="0" w:firstLineChars="0"/>
              <w:jc w:val="center"/>
              <w:rPr>
                <w:rFonts w:ascii="Times New Roman"/>
                <w:sz w:val="21"/>
                <w:szCs w:val="21"/>
              </w:rPr>
            </w:pPr>
          </w:p>
        </w:tc>
        <w:tc>
          <w:tcPr>
            <w:tcW w:w="1449"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沈阳建筑大学</w:t>
            </w:r>
          </w:p>
        </w:tc>
        <w:tc>
          <w:tcPr>
            <w:tcW w:w="896" w:type="dxa"/>
            <w:vAlign w:val="center"/>
          </w:tcPr>
          <w:p>
            <w:pPr>
              <w:pStyle w:val="4"/>
              <w:adjustRightInd w:val="0"/>
              <w:snapToGrid w:val="0"/>
              <w:spacing w:line="240" w:lineRule="auto"/>
              <w:ind w:firstLine="0" w:firstLineChars="0"/>
              <w:jc w:val="center"/>
              <w:rPr>
                <w:rFonts w:hint="eastAsia" w:ascii="Times New Roman" w:eastAsia="宋体"/>
                <w:iCs/>
                <w:sz w:val="21"/>
                <w:szCs w:val="21"/>
                <w:lang w:val="en-US" w:eastAsia="zh-CN"/>
              </w:rPr>
            </w:pPr>
            <w:r>
              <w:rPr>
                <w:rFonts w:ascii="Times New Roman"/>
                <w:iCs/>
                <w:sz w:val="21"/>
                <w:szCs w:val="21"/>
              </w:rPr>
              <w:t>Liu Xin</w:t>
            </w:r>
            <w:r>
              <w:rPr>
                <w:rFonts w:hint="eastAsia" w:ascii="Times New Roman"/>
                <w:iCs/>
                <w:sz w:val="21"/>
                <w:szCs w:val="21"/>
                <w:lang w:val="en-US" w:eastAsia="zh-CN"/>
              </w:rPr>
              <w:t>等</w:t>
            </w:r>
          </w:p>
        </w:tc>
        <w:tc>
          <w:tcPr>
            <w:tcW w:w="952" w:type="dxa"/>
            <w:vAlign w:val="center"/>
          </w:tcPr>
          <w:p>
            <w:pPr>
              <w:pStyle w:val="4"/>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bl>
    <w:p>
      <w:pPr>
        <w:rPr>
          <w:rFonts w:hint="eastAsia" w:ascii="Times New Roman" w:hAnsi="Times New Roman"/>
          <w:color w:val="000000"/>
          <w:kern w:val="0"/>
          <w:highlight w:val="gree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0D6486"/>
    <w:rsid w:val="00054AD6"/>
    <w:rsid w:val="00101176"/>
    <w:rsid w:val="001743C5"/>
    <w:rsid w:val="001B3762"/>
    <w:rsid w:val="00203232"/>
    <w:rsid w:val="002329A6"/>
    <w:rsid w:val="00281CF2"/>
    <w:rsid w:val="003349E5"/>
    <w:rsid w:val="0044195F"/>
    <w:rsid w:val="0048404A"/>
    <w:rsid w:val="00497DD9"/>
    <w:rsid w:val="004C740E"/>
    <w:rsid w:val="006B7F2F"/>
    <w:rsid w:val="006C12E7"/>
    <w:rsid w:val="006C19FD"/>
    <w:rsid w:val="006C247B"/>
    <w:rsid w:val="00737CB9"/>
    <w:rsid w:val="007552D4"/>
    <w:rsid w:val="007E2605"/>
    <w:rsid w:val="008319A9"/>
    <w:rsid w:val="00882A50"/>
    <w:rsid w:val="00895616"/>
    <w:rsid w:val="008E6C2D"/>
    <w:rsid w:val="00921BE7"/>
    <w:rsid w:val="009529F1"/>
    <w:rsid w:val="00A83EF7"/>
    <w:rsid w:val="00BB2FEF"/>
    <w:rsid w:val="00C33AD9"/>
    <w:rsid w:val="00C70A3A"/>
    <w:rsid w:val="00CF1D4A"/>
    <w:rsid w:val="00D17754"/>
    <w:rsid w:val="00E82B2E"/>
    <w:rsid w:val="00EE5CB2"/>
    <w:rsid w:val="00F72532"/>
    <w:rsid w:val="00FF29C7"/>
    <w:rsid w:val="03E6434C"/>
    <w:rsid w:val="095511F3"/>
    <w:rsid w:val="0CD10364"/>
    <w:rsid w:val="181603A8"/>
    <w:rsid w:val="24DF375D"/>
    <w:rsid w:val="3BD83145"/>
    <w:rsid w:val="4FCD2C07"/>
    <w:rsid w:val="59487E3E"/>
    <w:rsid w:val="5C0D6486"/>
    <w:rsid w:val="6F85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pPr>
      <w:spacing w:after="120"/>
    </w:pPr>
  </w:style>
  <w:style w:type="paragraph" w:styleId="3">
    <w:name w:val="Normal Indent"/>
    <w:basedOn w:val="1"/>
    <w:unhideWhenUsed/>
    <w:qFormat/>
    <w:uiPriority w:val="99"/>
    <w:pPr>
      <w:ind w:firstLine="420"/>
    </w:pPr>
  </w:style>
  <w:style w:type="paragraph" w:styleId="4">
    <w:name w:val="Plain Text"/>
    <w:basedOn w:val="1"/>
    <w:qFormat/>
    <w:uiPriority w:val="0"/>
    <w:pPr>
      <w:spacing w:line="360" w:lineRule="auto"/>
      <w:ind w:firstLine="480" w:firstLineChars="200"/>
    </w:pPr>
    <w:rPr>
      <w:rFonts w:ascii="仿宋_GB2312" w:hAnsi="Times New Roman"/>
      <w:sz w:val="24"/>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8"/>
    <w:basedOn w:val="1"/>
    <w:next w:val="1"/>
    <w:qFormat/>
    <w:uiPriority w:val="0"/>
    <w:pPr>
      <w:spacing w:line="360" w:lineRule="auto"/>
      <w:ind w:firstLine="480" w:firstLineChars="200"/>
    </w:pPr>
    <w:rPr>
      <w:rFonts w:ascii="仿宋_GB2312" w:hAnsi="Times New Roman"/>
      <w:sz w:val="24"/>
      <w:szCs w:val="20"/>
    </w:rPr>
  </w:style>
  <w:style w:type="character" w:customStyle="1" w:styleId="11">
    <w:name w:val="页眉 字符"/>
    <w:basedOn w:val="9"/>
    <w:link w:val="6"/>
    <w:qFormat/>
    <w:uiPriority w:val="0"/>
    <w:rPr>
      <w:rFonts w:ascii="Calibri" w:hAnsi="Calibri" w:eastAsia="宋体" w:cs="Times New Roman"/>
      <w:kern w:val="2"/>
      <w:sz w:val="18"/>
      <w:szCs w:val="18"/>
    </w:rPr>
  </w:style>
  <w:style w:type="character" w:customStyle="1" w:styleId="12">
    <w:name w:val="页脚 字符"/>
    <w:basedOn w:val="9"/>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654</Words>
  <Characters>500</Characters>
  <Lines>4</Lines>
  <Paragraphs>2</Paragraphs>
  <TotalTime>3</TotalTime>
  <ScaleCrop>false</ScaleCrop>
  <LinksUpToDate>false</LinksUpToDate>
  <CharactersWithSpaces>1152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2025-02-06T00:23:00Z</dcterms:created>
  <dc:creator>d(ŐдŐ๑)</dc:creator>
  <cp:lastModifiedBy>朱宝旭</cp:lastModifiedBy>
  <dcterms:modified xsi:type="dcterms:W3CDTF">2025-02-17T06:39:40Z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20A32A0B63BA48A59BCD82504C8240F3</vt:lpwstr>
  </property>
  <property fmtid="{D5CDD505-2E9C-101B-9397-08002B2CF9AE}" pid="4" name="KSOTemplateDocerSaveRecord">
    <vt:lpwstr>eyJoZGlkIjoiNjdhNzVlMzAyMTdjNTljMDY3Y2RiMzhhNzc4NDFhNGIiLCJ1c2VySWQiOiI2NjI1NjA4MTgifQ==</vt:lpwstr>
  </property>
</Properties>
</file>