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楷体" w:eastAsia="楷体" w:cs="楷体" w:hint="eastAsia"/>
          <w:b w:val="0"/>
          <w:bCs/>
          <w:i w:val="0"/>
          <w:iCs w:val="0"/>
          <w:kern w:val="0"/>
          <w:sz w:val="32"/>
          <w:szCs w:val="32"/>
          <w:lang w:eastAsia="zh-CN"/>
        </w:rPr>
      </w:pPr>
    </w:p>
    <w:tbl>
      <w:tblPr>
        <w:jc w:val="center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288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审查结果</w:t>
            </w:r>
          </w:p>
        </w:tc>
      </w:tr>
      <w:tr>
        <w:trPr>
          <w:trHeight w:val="29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中铁十九局集团第五工程有限公司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1缺少合同完工验收鉴定书，施工证明中工程开完工日期和中标金额与验收文件不一致，分部验收鉴定书未经质量监督部门核备。业绩存疑，不符合资质申报要求。</w:t>
            </w:r>
          </w:p>
        </w:tc>
      </w:tr>
      <w:tr>
        <w:trPr>
          <w:trHeight w:val="2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"https://59.197.161.2/hz_aeaa/instart/selecttables"</w:instrTex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丹东市顺东发建筑工程有限公司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技术负责人从业经历存疑，业绩1、2在黑龙江省公共资源交易平台上无法查询，且申报材料存在前后矛盾，业绩存疑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。雷</w:t>
            </w:r>
            <w:r>
              <w:rPr>
                <w:rFonts w:ascii="仿宋_GB2312" w:eastAsia="文泉驿微米黑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城、杨</w:t>
            </w:r>
            <w:r>
              <w:rPr>
                <w:rFonts w:ascii="仿宋_GB2312" w:eastAsia="文泉驿微米黑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霞、刘</w:t>
            </w:r>
            <w:r>
              <w:rPr>
                <w:rFonts w:ascii="仿宋_GB2312" w:eastAsia="文泉驿微米黑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铁、吕</w:t>
            </w:r>
            <w:r>
              <w:rPr>
                <w:rFonts w:ascii="仿宋_GB2312" w:eastAsia="文泉驿微米黑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红、田</w:t>
            </w:r>
            <w:r>
              <w:rPr>
                <w:rFonts w:ascii="仿宋_GB2312" w:eastAsia="文泉驿微米黑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梅、班</w:t>
            </w:r>
            <w:r>
              <w:rPr>
                <w:rFonts w:ascii="仿宋_GB2312" w:eastAsia="文泉驿微米黑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、高</w:t>
            </w:r>
            <w:r>
              <w:rPr>
                <w:rFonts w:ascii="仿宋_GB2312" w:eastAsia="文泉驿微米黑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华7人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全国水利建设市场监管平台显示在其他企业从业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，不符合资质申报要求。</w:t>
            </w:r>
          </w:p>
        </w:tc>
      </w:tr>
      <w:tr>
        <w:trPr>
          <w:trHeight w:val="253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"https://59.197.161.2/hz_aeaa/instart/selecttables"</w:instrTex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大连京工建设工程有限公司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1、2存疑，且未提供证明材料，在黑龙江省公共资源交易平台上无法查询信息，不符合资质申报要求。</w:t>
            </w:r>
          </w:p>
        </w:tc>
      </w:tr>
      <w:tr>
        <w:trPr>
          <w:trHeight w:val="29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instrText>HYPERLINK "https://59.197.161.2/hz_aeaa/instart/selecttables"</w:instrTex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  <w:lang w:val="en-US" w:eastAsia="zh-CN"/>
              </w:rPr>
              <w:t>辽宁宏洋实业有限公司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1申报材料与全国水利建设市场监管平台上信息不一致，缺少业绩1、2与申报人员相关联的佐证材料，不符合资质申报要求。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altName w:val="永中楷体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694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694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7239957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jM0ZTZiYjU5YTJiZDM4ZGMzNTAzN2E1YzU5MmFhO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565</Words>
  <Characters>565</Characters>
  <Lines>45</Lines>
  <Paragraphs>16</Paragraphs>
  <CharactersWithSpaces>565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thtf</cp:lastModifiedBy>
  <cp:revision>1</cp:revision>
  <cp:lastPrinted>2024-08-23T05:40:59Z</cp:lastPrinted>
  <dcterms:created xsi:type="dcterms:W3CDTF">2023-07-21T06:26:00Z</dcterms:created>
  <dcterms:modified xsi:type="dcterms:W3CDTF">2024-08-23T07:42:50Z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