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宋体" w:cs="宋体" w:hAnsi="宋体" w:hint="eastAsia"/>
          <w:b/>
          <w:kern w:val="0"/>
          <w:sz w:val="44"/>
          <w:szCs w:val="44"/>
          <w:lang w:eastAsia="zh-CN"/>
        </w:rPr>
      </w:pPr>
      <w:bookmarkStart w:id="0" w:name="_GoBack"/>
      <w:bookmarkEnd w:id="0"/>
    </w:p>
    <w:tbl>
      <w:tblPr>
        <w:jc w:val="center"/>
        <w:tblW w:w="13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8567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</w:tr>
      <w:tr>
        <w:trPr>
          <w:trHeight w:val="19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sz w:val="24"/>
                <w:szCs w:val="24"/>
              </w:rPr>
              <w:t>凤城市盛通实业发展有限责任公司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</w:tr>
      <w:tr>
        <w:trPr>
          <w:trHeight w:val="17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朝阳恒大兴源建设有限公司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建筑业企业资质认定（总承包特级、一级及部分专业一级除外）--资质升级-水利水电工程施工总承包二级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  <w:style w:type="character" w:styleId="18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47CA952-1D88-47A2-99BC-F37554677F0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109</Characters>
  <Lines>0</Lines>
  <Paragraphs>3</Paragraphs>
  <CharactersWithSpaces>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2024-04-19T02:21:40Z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