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仿宋" w:hAnsi="仿宋" w:cs="仿宋_GB2312"/>
          <w:bCs/>
          <w:color w:val="000000" w:themeColor="text1"/>
          <w:sz w:val="24"/>
          <w14:textFill>
            <w14:solidFill>
              <w14:schemeClr w14:val="tx1"/>
            </w14:solidFill>
          </w14:textFill>
        </w:rPr>
      </w:pPr>
      <w:r>
        <w:rPr>
          <w:rFonts w:ascii="仿宋" w:hAnsi="仿宋"/>
          <w:color w:val="000000" w:themeColor="text1"/>
          <w14:textFill>
            <w14:solidFill>
              <w14:schemeClr w14:val="tx1"/>
            </w14:solidFill>
          </w14:textFill>
        </w:rPr>
        <w:t xml:space="preserve"> </w:t>
      </w:r>
      <w:r>
        <w:rPr>
          <w:rFonts w:ascii="仿宋" w:hAnsi="仿宋"/>
          <w:color w:val="000000" w:themeColor="text1"/>
          <w14:textFill>
            <w14:solidFill>
              <w14:schemeClr w14:val="tx1"/>
            </w14:solidFill>
          </w14:textFill>
        </w:rPr>
        <w:drawing>
          <wp:inline distT="0" distB="0" distL="114300" distR="114300">
            <wp:extent cx="810260" cy="8350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10260" cy="835025"/>
                    </a:xfrm>
                    <a:prstGeom prst="rect">
                      <a:avLst/>
                    </a:prstGeom>
                    <a:noFill/>
                    <a:ln>
                      <a:noFill/>
                    </a:ln>
                  </pic:spPr>
                </pic:pic>
              </a:graphicData>
            </a:graphic>
          </wp:inline>
        </w:drawing>
      </w:r>
    </w:p>
    <w:p>
      <w:pPr>
        <w:spacing w:line="360" w:lineRule="auto"/>
        <w:ind w:firstLine="260" w:firstLineChars="50"/>
        <w:jc w:val="center"/>
        <w:rPr>
          <w:rFonts w:ascii="仿宋" w:hAnsi="仿宋" w:cs="仿宋_GB2312"/>
          <w:b/>
          <w:color w:val="000000" w:themeColor="text1"/>
          <w:sz w:val="52"/>
          <w:szCs w:val="52"/>
          <w14:textFill>
            <w14:solidFill>
              <w14:schemeClr w14:val="tx1"/>
            </w14:solidFill>
          </w14:textFill>
        </w:rPr>
      </w:pPr>
    </w:p>
    <w:p>
      <w:pPr>
        <w:spacing w:after="249" w:line="259" w:lineRule="auto"/>
        <w:ind w:right="9"/>
        <w:jc w:val="center"/>
        <w:rPr>
          <w:rFonts w:ascii="方正小标宋简体" w:hAnsi="仿宋" w:eastAsia="方正小标宋简体"/>
          <w:color w:val="000000" w:themeColor="text1"/>
          <w:sz w:val="52"/>
          <w14:textFill>
            <w14:solidFill>
              <w14:schemeClr w14:val="tx1"/>
            </w14:solidFill>
          </w14:textFill>
        </w:rPr>
      </w:pPr>
      <w:r>
        <w:rPr>
          <w:rFonts w:hint="eastAsia" w:ascii="方正小标宋简体" w:hAnsi="仿宋" w:eastAsia="方正小标宋简体"/>
          <w:color w:val="000000" w:themeColor="text1"/>
          <w:sz w:val="52"/>
          <w14:textFill>
            <w14:solidFill>
              <w14:schemeClr w14:val="tx1"/>
            </w14:solidFill>
          </w14:textFill>
        </w:rPr>
        <w:t>辽宁省政府采购项目</w:t>
      </w:r>
    </w:p>
    <w:p>
      <w:pPr>
        <w:spacing w:line="360" w:lineRule="auto"/>
        <w:ind w:firstLine="120" w:firstLineChars="50"/>
        <w:jc w:val="center"/>
        <w:rPr>
          <w:rFonts w:ascii="仿宋" w:hAnsi="仿宋" w:cs="仿宋_GB2312"/>
          <w:b/>
          <w:color w:val="000000" w:themeColor="text1"/>
          <w:sz w:val="24"/>
          <w14:textFill>
            <w14:solidFill>
              <w14:schemeClr w14:val="tx1"/>
            </w14:solidFill>
          </w14:textFill>
        </w:rPr>
      </w:pPr>
    </w:p>
    <w:p>
      <w:pPr>
        <w:pStyle w:val="13"/>
        <w:rPr>
          <w:color w:val="000000" w:themeColor="text1"/>
          <w14:textFill>
            <w14:solidFill>
              <w14:schemeClr w14:val="tx1"/>
            </w14:solidFill>
          </w14:textFill>
        </w:rPr>
      </w:pPr>
    </w:p>
    <w:p>
      <w:pPr>
        <w:spacing w:line="360" w:lineRule="auto"/>
        <w:ind w:firstLine="240" w:firstLineChars="50"/>
        <w:jc w:val="center"/>
        <w:rPr>
          <w:rFonts w:ascii="楷体_GB2312" w:hAnsi="仿宋" w:eastAsia="楷体_GB2312" w:cs="仿宋_GB2312"/>
          <w:bCs/>
          <w:color w:val="000000" w:themeColor="text1"/>
          <w:sz w:val="48"/>
          <w:szCs w:val="48"/>
          <w14:textFill>
            <w14:solidFill>
              <w14:schemeClr w14:val="tx1"/>
            </w14:solidFill>
          </w14:textFill>
        </w:rPr>
      </w:pPr>
      <w:r>
        <w:rPr>
          <w:rFonts w:hint="eastAsia" w:ascii="楷体_GB2312" w:hAnsi="仿宋" w:eastAsia="楷体_GB2312" w:cs="仿宋_GB2312"/>
          <w:bCs/>
          <w:color w:val="000000" w:themeColor="text1"/>
          <w:sz w:val="48"/>
          <w:szCs w:val="48"/>
          <w14:textFill>
            <w14:solidFill>
              <w14:schemeClr w14:val="tx1"/>
            </w14:solidFill>
          </w14:textFill>
        </w:rPr>
        <w:t>服务类公开招标</w:t>
      </w:r>
    </w:p>
    <w:p>
      <w:pPr>
        <w:spacing w:line="360" w:lineRule="auto"/>
        <w:ind w:firstLine="120" w:firstLineChars="50"/>
        <w:jc w:val="center"/>
        <w:rPr>
          <w:rFonts w:ascii="仿宋" w:hAnsi="仿宋" w:cs="仿宋_GB2312"/>
          <w:b/>
          <w:color w:val="000000" w:themeColor="text1"/>
          <w:sz w:val="24"/>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spacing w:line="360" w:lineRule="auto"/>
        <w:ind w:firstLine="500" w:firstLineChars="50"/>
        <w:jc w:val="center"/>
        <w:rPr>
          <w:rFonts w:ascii="黑体" w:hAnsi="黑体" w:eastAsia="黑体" w:cs="仿宋_GB2312"/>
          <w:b/>
          <w:color w:val="000000" w:themeColor="text1"/>
          <w:sz w:val="100"/>
          <w:szCs w:val="100"/>
          <w14:textFill>
            <w14:solidFill>
              <w14:schemeClr w14:val="tx1"/>
            </w14:solidFill>
          </w14:textFill>
        </w:rPr>
      </w:pPr>
      <w:r>
        <w:rPr>
          <w:rFonts w:hint="eastAsia" w:ascii="黑体" w:hAnsi="黑体" w:eastAsia="黑体" w:cs="仿宋_GB2312"/>
          <w:b/>
          <w:color w:val="000000" w:themeColor="text1"/>
          <w:sz w:val="100"/>
          <w:szCs w:val="100"/>
          <w14:textFill>
            <w14:solidFill>
              <w14:schemeClr w14:val="tx1"/>
            </w14:solidFill>
          </w14:textFill>
        </w:rPr>
        <w:t>招 标 文 件</w:t>
      </w:r>
    </w:p>
    <w:p>
      <w:pPr>
        <w:rPr>
          <w:color w:val="000000" w:themeColor="text1"/>
          <w14:textFill>
            <w14:solidFill>
              <w14:schemeClr w14:val="tx1"/>
            </w14:solidFill>
          </w14:textFill>
        </w:rPr>
      </w:pPr>
    </w:p>
    <w:p>
      <w:pPr>
        <w:spacing w:line="480" w:lineRule="exact"/>
        <w:jc w:val="center"/>
        <w:rPr>
          <w:rFonts w:ascii="仿宋" w:hAnsi="仿宋" w:cs="仿宋_GB2312"/>
          <w:b/>
          <w:color w:val="000000" w:themeColor="text1"/>
          <w:sz w:val="24"/>
          <w14:textFill>
            <w14:solidFill>
              <w14:schemeClr w14:val="tx1"/>
            </w14:solidFill>
          </w14:textFill>
        </w:rPr>
      </w:pPr>
    </w:p>
    <w:p>
      <w:pPr>
        <w:spacing w:line="480" w:lineRule="exact"/>
        <w:jc w:val="center"/>
        <w:rPr>
          <w:rFonts w:ascii="仿宋" w:hAnsi="仿宋" w:cs="仿宋_GB2312"/>
          <w:b/>
          <w:color w:val="000000" w:themeColor="text1"/>
          <w:sz w:val="24"/>
          <w14:textFill>
            <w14:solidFill>
              <w14:schemeClr w14:val="tx1"/>
            </w14:solidFill>
          </w14:textFill>
        </w:rPr>
      </w:pPr>
    </w:p>
    <w:p>
      <w:pPr>
        <w:spacing w:line="480" w:lineRule="exact"/>
        <w:jc w:val="center"/>
        <w:rPr>
          <w:rFonts w:ascii="仿宋" w:hAnsi="仿宋" w:cs="仿宋_GB2312"/>
          <w:b/>
          <w:color w:val="000000" w:themeColor="text1"/>
          <w:sz w:val="24"/>
          <w14:textFill>
            <w14:solidFill>
              <w14:schemeClr w14:val="tx1"/>
            </w14:solidFill>
          </w14:textFill>
        </w:rPr>
      </w:pPr>
    </w:p>
    <w:p>
      <w:pPr>
        <w:spacing w:line="480" w:lineRule="exact"/>
        <w:jc w:val="center"/>
        <w:rPr>
          <w:rFonts w:ascii="仿宋" w:hAnsi="仿宋" w:cs="仿宋_GB2312"/>
          <w:b/>
          <w:color w:val="000000" w:themeColor="text1"/>
          <w:sz w:val="24"/>
          <w14:textFill>
            <w14:solidFill>
              <w14:schemeClr w14:val="tx1"/>
            </w14:solidFill>
          </w14:textFill>
        </w:rPr>
      </w:pPr>
    </w:p>
    <w:p>
      <w:pPr>
        <w:spacing w:line="480" w:lineRule="exact"/>
        <w:jc w:val="center"/>
        <w:rPr>
          <w:rFonts w:ascii="仿宋" w:hAnsi="仿宋" w:cs="仿宋_GB2312"/>
          <w:b/>
          <w:color w:val="000000" w:themeColor="text1"/>
          <w:sz w:val="24"/>
          <w14:textFill>
            <w14:solidFill>
              <w14:schemeClr w14:val="tx1"/>
            </w14:solidFill>
          </w14:textFill>
        </w:rPr>
      </w:pPr>
    </w:p>
    <w:p>
      <w:pPr>
        <w:spacing w:line="360" w:lineRule="auto"/>
        <w:ind w:left="630" w:leftChars="300"/>
        <w:jc w:val="left"/>
        <w:rPr>
          <w:rFonts w:ascii="楷体_GB2312" w:hAnsi="仿宋" w:eastAsia="楷体_GB2312" w:cs="仿宋_GB2312"/>
          <w:bCs/>
          <w:color w:val="000000" w:themeColor="text1"/>
          <w:sz w:val="32"/>
          <w:szCs w:val="32"/>
          <w14:textFill>
            <w14:solidFill>
              <w14:schemeClr w14:val="tx1"/>
            </w14:solidFill>
          </w14:textFill>
        </w:rPr>
      </w:pPr>
      <w:r>
        <w:rPr>
          <w:rFonts w:hint="eastAsia" w:ascii="楷体_GB2312" w:hAnsi="仿宋" w:eastAsia="楷体_GB2312" w:cs="仿宋_GB2312"/>
          <w:bCs/>
          <w:color w:val="000000" w:themeColor="text1"/>
          <w:sz w:val="32"/>
          <w:szCs w:val="32"/>
          <w14:textFill>
            <w14:solidFill>
              <w14:schemeClr w14:val="tx1"/>
            </w14:solidFill>
          </w14:textFill>
        </w:rPr>
        <w:t>项目名称</w:t>
      </w:r>
      <w:r>
        <w:rPr>
          <w:rFonts w:hint="eastAsia" w:ascii="楷体_GB2312" w:hAnsi="仿宋" w:eastAsia="楷体_GB2312" w:cs="仿宋_GB2312"/>
          <w:bCs/>
          <w:color w:val="000000" w:themeColor="text1"/>
          <w:spacing w:val="-6"/>
          <w:w w:val="95"/>
          <w:sz w:val="32"/>
          <w:szCs w:val="32"/>
          <w14:textFill>
            <w14:solidFill>
              <w14:schemeClr w14:val="tx1"/>
            </w14:solidFill>
          </w14:textFill>
        </w:rPr>
        <w:t>：</w:t>
      </w:r>
      <w:r>
        <w:rPr>
          <w:rFonts w:hint="eastAsia" w:ascii="楷体_GB2312" w:hAnsi="仿宋" w:eastAsia="楷体_GB2312" w:cs="仿宋_GB2312"/>
          <w:bCs/>
          <w:color w:val="000000" w:themeColor="text1"/>
          <w:spacing w:val="-11"/>
          <w:w w:val="95"/>
          <w:sz w:val="32"/>
          <w:szCs w:val="32"/>
          <w14:textFill>
            <w14:solidFill>
              <w14:schemeClr w14:val="tx1"/>
            </w14:solidFill>
          </w14:textFill>
        </w:rPr>
        <w:t>辽宁省住房和城乡建设厅一体化服务平台建设项目</w:t>
      </w:r>
    </w:p>
    <w:p>
      <w:pPr>
        <w:spacing w:line="360" w:lineRule="auto"/>
        <w:ind w:left="630" w:leftChars="300"/>
        <w:jc w:val="left"/>
        <w:rPr>
          <w:rFonts w:ascii="楷体_GB2312" w:hAnsi="仿宋" w:eastAsia="楷体_GB2312" w:cs="仿宋_GB2312"/>
          <w:bCs/>
          <w:color w:val="000000" w:themeColor="text1"/>
          <w:sz w:val="32"/>
          <w:szCs w:val="32"/>
          <w14:textFill>
            <w14:solidFill>
              <w14:schemeClr w14:val="tx1"/>
            </w14:solidFill>
          </w14:textFill>
        </w:rPr>
      </w:pPr>
      <w:r>
        <w:rPr>
          <w:rFonts w:hint="eastAsia" w:ascii="楷体_GB2312" w:hAnsi="仿宋" w:eastAsia="楷体_GB2312" w:cs="仿宋_GB2312"/>
          <w:bCs/>
          <w:color w:val="000000" w:themeColor="text1"/>
          <w:sz w:val="32"/>
          <w:szCs w:val="32"/>
          <w14:textFill>
            <w14:solidFill>
              <w14:schemeClr w14:val="tx1"/>
            </w14:solidFill>
          </w14:textFill>
        </w:rPr>
        <w:t>项目编号：JH23-210000-19475</w:t>
      </w:r>
    </w:p>
    <w:p>
      <w:pPr>
        <w:spacing w:line="360" w:lineRule="auto"/>
        <w:ind w:firstLine="640" w:firstLineChars="200"/>
        <w:rPr>
          <w:rFonts w:ascii="楷体_GB2312" w:hAnsi="仿宋" w:eastAsia="楷体_GB2312" w:cs="仿宋_GB2312"/>
          <w:bCs/>
          <w:color w:val="000000" w:themeColor="text1"/>
          <w:sz w:val="40"/>
          <w:szCs w:val="40"/>
          <w14:textFill>
            <w14:solidFill>
              <w14:schemeClr w14:val="tx1"/>
            </w14:solidFill>
          </w14:textFill>
        </w:rPr>
      </w:pPr>
      <w:r>
        <w:rPr>
          <w:rFonts w:hint="eastAsia" w:ascii="楷体_GB2312" w:hAnsi="仿宋" w:eastAsia="楷体_GB2312" w:cs="仿宋_GB2312"/>
          <w:bCs/>
          <w:color w:val="000000" w:themeColor="text1"/>
          <w:sz w:val="32"/>
          <w:szCs w:val="32"/>
          <w14:textFill>
            <w14:solidFill>
              <w14:schemeClr w14:val="tx1"/>
            </w14:solidFill>
          </w14:textFill>
        </w:rPr>
        <w:t>编制单位：辽宁省沈抚公共资源交易服务有限公司</w:t>
      </w:r>
    </w:p>
    <w:p>
      <w:pPr>
        <w:jc w:val="center"/>
        <w:rPr>
          <w:rFonts w:ascii="仿宋" w:hAnsi="仿宋" w:cs="仿宋_GB2312"/>
          <w:bCs/>
          <w:color w:val="000000" w:themeColor="text1"/>
          <w:sz w:val="40"/>
          <w:szCs w:val="40"/>
          <w14:textFill>
            <w14:solidFill>
              <w14:schemeClr w14:val="tx1"/>
            </w14:solidFill>
          </w14:textFill>
        </w:rPr>
        <w:sectPr>
          <w:headerReference r:id="rId3" w:type="default"/>
          <w:pgSz w:w="11906" w:h="16838"/>
          <w:pgMar w:top="1440" w:right="1700" w:bottom="1440" w:left="1701" w:header="851" w:footer="992" w:gutter="0"/>
          <w:pgNumType w:start="1"/>
          <w:cols w:space="720" w:num="1"/>
          <w:titlePg/>
          <w:docGrid w:type="linesAndChars" w:linePitch="312" w:charSpace="0"/>
        </w:sectPr>
      </w:pPr>
    </w:p>
    <w:p>
      <w:pPr>
        <w:spacing w:before="312" w:beforeLines="100" w:after="312" w:afterLines="100" w:line="480" w:lineRule="auto"/>
        <w:jc w:val="center"/>
        <w:rPr>
          <w:rFonts w:ascii="仿宋" w:hAnsi="仿宋" w:cs="仿宋_GB2312"/>
          <w:b/>
          <w:bCs/>
          <w:color w:val="000000" w:themeColor="text1"/>
          <w:sz w:val="44"/>
          <w:szCs w:val="44"/>
          <w14:textFill>
            <w14:solidFill>
              <w14:schemeClr w14:val="tx1"/>
            </w14:solidFill>
          </w14:textFill>
        </w:rPr>
      </w:pPr>
      <w:r>
        <w:rPr>
          <w:rFonts w:hint="eastAsia" w:ascii="黑体" w:hAnsi="黑体" w:eastAsia="黑体" w:cs="仿宋_GB2312"/>
          <w:b/>
          <w:bCs/>
          <w:color w:val="000000" w:themeColor="text1"/>
          <w:sz w:val="44"/>
          <w:szCs w:val="44"/>
          <w14:textFill>
            <w14:solidFill>
              <w14:schemeClr w14:val="tx1"/>
            </w14:solidFill>
          </w14:textFill>
        </w:rPr>
        <w:t>目  录</w:t>
      </w:r>
      <w:bookmarkStart w:id="150" w:name="_GoBack"/>
      <w:bookmarkEnd w:id="150"/>
    </w:p>
    <w:p>
      <w:pPr>
        <w:pStyle w:val="15"/>
        <w:tabs>
          <w:tab w:val="right" w:leader="dot" w:pos="8290"/>
        </w:tabs>
        <w:spacing w:line="720" w:lineRule="auto"/>
        <w:rPr>
          <w:rFonts w:hint="eastAsia" w:ascii="仿宋_GB2312" w:hAnsi="仿宋_GB2312" w:eastAsia="仿宋_GB2312" w:cs="仿宋_GB2312"/>
          <w:b/>
          <w:bCs/>
          <w:sz w:val="32"/>
          <w:szCs w:val="32"/>
        </w:rPr>
      </w:pPr>
      <w:bookmarkStart w:id="0" w:name="_Toc2983"/>
      <w:bookmarkStart w:id="1" w:name="_Toc1124_WPSOffice_Level1"/>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TOC \o "1-1" \h \u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_Toc9740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招标公告</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_Toc9740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15"/>
        <w:tabs>
          <w:tab w:val="right" w:leader="dot" w:pos="8290"/>
        </w:tabs>
        <w:spacing w:line="72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_Toc24714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第一章 投标人须知</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_Toc24714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15"/>
        <w:tabs>
          <w:tab w:val="right" w:leader="dot" w:pos="8290"/>
        </w:tabs>
        <w:spacing w:line="72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_Toc19603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第二章 投标文件内容及格式</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_Toc19603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30</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15"/>
        <w:tabs>
          <w:tab w:val="right" w:leader="dot" w:pos="8290"/>
        </w:tabs>
        <w:spacing w:line="72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_Toc17242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第三章 服务需求</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_Toc17242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67</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15"/>
        <w:tabs>
          <w:tab w:val="right" w:leader="dot" w:pos="8290"/>
        </w:tabs>
        <w:spacing w:line="72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_Toc17935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第四章 评标方法</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_Toc17935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118</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15"/>
        <w:tabs>
          <w:tab w:val="right" w:leader="dot" w:pos="8290"/>
        </w:tabs>
        <w:spacing w:line="72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_Toc452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第五章 政府采购合同条款及格式</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_Toc452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147</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15"/>
        <w:tabs>
          <w:tab w:val="right" w:leader="dot" w:pos="8290"/>
        </w:tabs>
        <w:spacing w:line="720" w:lineRule="auto"/>
        <w:rPr>
          <w:rFonts w:hAnsi="仿宋"/>
          <w:color w:val="000000" w:themeColor="text1"/>
          <w14:textFill>
            <w14:solidFill>
              <w14:schemeClr w14:val="tx1"/>
            </w14:solidFill>
          </w14:textFill>
        </w:rPr>
        <w:sectPr>
          <w:footerReference r:id="rId4" w:type="default"/>
          <w:pgSz w:w="11906" w:h="16838"/>
          <w:pgMar w:top="1563" w:right="1803" w:bottom="1440" w:left="1803" w:header="956" w:footer="801" w:gutter="0"/>
          <w:pgNumType w:fmt="upperRoman" w:start="1"/>
          <w:cols w:space="720" w:num="1"/>
          <w:docGrid w:type="linesAndChars" w:linePitch="312" w:charSpace="0"/>
        </w:sectPr>
      </w:pPr>
      <w:r>
        <w:rPr>
          <w:rFonts w:hint="eastAsia" w:ascii="仿宋_GB2312" w:hAnsi="仿宋_GB2312" w:eastAsia="仿宋_GB2312" w:cs="仿宋_GB2312"/>
          <w:b/>
          <w:bCs/>
          <w:sz w:val="32"/>
          <w:szCs w:val="32"/>
        </w:rPr>
        <w:fldChar w:fldCharType="end"/>
      </w:r>
    </w:p>
    <w:bookmarkEnd w:id="0"/>
    <w:bookmarkEnd w:id="1"/>
    <w:p>
      <w:pPr>
        <w:spacing w:line="240" w:lineRule="auto"/>
        <w:ind w:left="30" w:leftChars="0" w:hanging="30" w:hangingChars="7"/>
        <w:jc w:val="center"/>
        <w:rPr>
          <w:rFonts w:hint="eastAsia" w:ascii="仿宋_GB2312" w:hAnsi="仿宋" w:eastAsia="仿宋_GB2312"/>
          <w:color w:val="000000" w:themeColor="text1"/>
          <w:sz w:val="24"/>
          <w:lang w:eastAsia="zh-CN"/>
          <w14:textFill>
            <w14:solidFill>
              <w14:schemeClr w14:val="tx1"/>
            </w14:solidFill>
          </w14:textFill>
        </w:rPr>
      </w:pPr>
      <w:bookmarkStart w:id="2" w:name="_Toc14248"/>
      <w:bookmarkStart w:id="3" w:name="_Toc116291175"/>
      <w:bookmarkStart w:id="4" w:name="_Toc9740"/>
      <w:r>
        <w:rPr>
          <w:rStyle w:val="31"/>
          <w:rFonts w:hint="eastAsia" w:ascii="方正小标宋简体" w:hAnsi="方正小标宋简体" w:eastAsia="方正小标宋简体" w:cs="方正小标宋简体"/>
          <w:lang w:val="en-US" w:eastAsia="zh-CN"/>
        </w:rPr>
        <w:t>辽宁省住房和城乡建设厅一体化服务平台建设项目招标公告</w:t>
      </w:r>
      <w:bookmarkEnd w:id="2"/>
      <w:bookmarkEnd w:id="3"/>
      <w:bookmarkEnd w:id="4"/>
      <w:r>
        <w:rPr>
          <w:rFonts w:hint="eastAsia" w:ascii="仿宋_GB2312" w:hAnsi="仿宋" w:eastAsia="仿宋_GB2312"/>
          <w:color w:val="000000" w:themeColor="text1"/>
          <w:sz w:val="24"/>
          <w:lang w:eastAsia="zh-CN"/>
          <w14:textFill>
            <w14:solidFill>
              <w14:schemeClr w14:val="tx1"/>
            </w14:solidFill>
          </w14:textFill>
        </w:rPr>
        <w:drawing>
          <wp:inline distT="0" distB="0" distL="114300" distR="114300">
            <wp:extent cx="5061585" cy="7162165"/>
            <wp:effectExtent l="0" t="0" r="5715" b="635"/>
            <wp:docPr id="13" name="图片 13" descr="住建厅一体化平台招标公告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住建厅一体化平台招标公告_页面_1"/>
                    <pic:cNvPicPr>
                      <a:picLocks noChangeAspect="1"/>
                    </pic:cNvPicPr>
                  </pic:nvPicPr>
                  <pic:blipFill>
                    <a:blip r:embed="rId9"/>
                    <a:stretch>
                      <a:fillRect/>
                    </a:stretch>
                  </pic:blipFill>
                  <pic:spPr>
                    <a:xfrm>
                      <a:off x="0" y="0"/>
                      <a:ext cx="5061585" cy="7162165"/>
                    </a:xfrm>
                    <a:prstGeom prst="rect">
                      <a:avLst/>
                    </a:prstGeom>
                  </pic:spPr>
                </pic:pic>
              </a:graphicData>
            </a:graphic>
          </wp:inline>
        </w:drawing>
      </w:r>
      <w:r>
        <w:rPr>
          <w:rFonts w:hint="eastAsia" w:ascii="仿宋_GB2312" w:hAnsi="仿宋" w:eastAsia="仿宋_GB2312"/>
          <w:color w:val="000000" w:themeColor="text1"/>
          <w:sz w:val="24"/>
          <w:lang w:eastAsia="zh-CN"/>
          <w14:textFill>
            <w14:solidFill>
              <w14:schemeClr w14:val="tx1"/>
            </w14:solidFill>
          </w14:textFill>
        </w:rPr>
        <w:drawing>
          <wp:inline distT="0" distB="0" distL="114300" distR="114300">
            <wp:extent cx="5267960" cy="7453630"/>
            <wp:effectExtent l="0" t="0" r="8890" b="13970"/>
            <wp:docPr id="12" name="图片 12" descr="住建厅一体化平台招标公告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住建厅一体化平台招标公告_页面_2"/>
                    <pic:cNvPicPr>
                      <a:picLocks noChangeAspect="1"/>
                    </pic:cNvPicPr>
                  </pic:nvPicPr>
                  <pic:blipFill>
                    <a:blip r:embed="rId10"/>
                    <a:stretch>
                      <a:fillRect/>
                    </a:stretch>
                  </pic:blipFill>
                  <pic:spPr>
                    <a:xfrm>
                      <a:off x="0" y="0"/>
                      <a:ext cx="5267960" cy="7453630"/>
                    </a:xfrm>
                    <a:prstGeom prst="rect">
                      <a:avLst/>
                    </a:prstGeom>
                  </pic:spPr>
                </pic:pic>
              </a:graphicData>
            </a:graphic>
          </wp:inline>
        </w:drawing>
      </w:r>
      <w:r>
        <w:rPr>
          <w:rFonts w:hint="eastAsia" w:ascii="仿宋_GB2312" w:hAnsi="仿宋" w:eastAsia="仿宋_GB2312"/>
          <w:color w:val="000000" w:themeColor="text1"/>
          <w:sz w:val="24"/>
          <w:lang w:eastAsia="zh-CN"/>
          <w14:textFill>
            <w14:solidFill>
              <w14:schemeClr w14:val="tx1"/>
            </w14:solidFill>
          </w14:textFill>
        </w:rPr>
        <w:drawing>
          <wp:inline distT="0" distB="0" distL="114300" distR="114300">
            <wp:extent cx="5267960" cy="7453630"/>
            <wp:effectExtent l="0" t="0" r="8890" b="13970"/>
            <wp:docPr id="11" name="图片 11" descr="住建厅一体化平台招标公告_页面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住建厅一体化平台招标公告_页面_3"/>
                    <pic:cNvPicPr>
                      <a:picLocks noChangeAspect="1"/>
                    </pic:cNvPicPr>
                  </pic:nvPicPr>
                  <pic:blipFill>
                    <a:blip r:embed="rId11"/>
                    <a:stretch>
                      <a:fillRect/>
                    </a:stretch>
                  </pic:blipFill>
                  <pic:spPr>
                    <a:xfrm>
                      <a:off x="0" y="0"/>
                      <a:ext cx="5267960" cy="7453630"/>
                    </a:xfrm>
                    <a:prstGeom prst="rect">
                      <a:avLst/>
                    </a:prstGeom>
                  </pic:spPr>
                </pic:pic>
              </a:graphicData>
            </a:graphic>
          </wp:inline>
        </w:drawing>
      </w:r>
      <w:r>
        <w:rPr>
          <w:rFonts w:hint="eastAsia" w:ascii="仿宋_GB2312" w:hAnsi="仿宋" w:eastAsia="仿宋_GB2312"/>
          <w:color w:val="000000" w:themeColor="text1"/>
          <w:sz w:val="24"/>
          <w:lang w:eastAsia="zh-CN"/>
          <w14:textFill>
            <w14:solidFill>
              <w14:schemeClr w14:val="tx1"/>
            </w14:solidFill>
          </w14:textFill>
        </w:rPr>
        <w:drawing>
          <wp:inline distT="0" distB="0" distL="114300" distR="114300">
            <wp:extent cx="5267960" cy="953135"/>
            <wp:effectExtent l="0" t="0" r="0" b="0"/>
            <wp:docPr id="10" name="图片 10" descr="住建厅一体化平台招标公告_页面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住建厅一体化平台招标公告_页面_4"/>
                    <pic:cNvPicPr>
                      <a:picLocks noChangeAspect="1"/>
                    </pic:cNvPicPr>
                  </pic:nvPicPr>
                  <pic:blipFill>
                    <a:blip r:embed="rId12"/>
                    <a:srcRect b="87212"/>
                    <a:stretch>
                      <a:fillRect/>
                    </a:stretch>
                  </pic:blipFill>
                  <pic:spPr>
                    <a:xfrm>
                      <a:off x="0" y="0"/>
                      <a:ext cx="5267960" cy="953135"/>
                    </a:xfrm>
                    <a:prstGeom prst="rect">
                      <a:avLst/>
                    </a:prstGeom>
                  </pic:spPr>
                </pic:pic>
              </a:graphicData>
            </a:graphic>
          </wp:inline>
        </w:drawing>
      </w:r>
    </w:p>
    <w:p>
      <w:pPr>
        <w:pStyle w:val="2"/>
        <w:snapToGrid w:val="0"/>
        <w:spacing w:before="156" w:beforeLines="50" w:after="156" w:afterLines="50" w:line="360" w:lineRule="auto"/>
        <w:rPr>
          <w:rFonts w:ascii="方正小标宋简体" w:hAnsi="黑体" w:eastAsia="方正小标宋简体" w:cs="仿宋_GB2312"/>
          <w:color w:val="000000" w:themeColor="text1"/>
          <w14:textFill>
            <w14:solidFill>
              <w14:schemeClr w14:val="tx1"/>
            </w14:solidFill>
          </w14:textFill>
        </w:rPr>
      </w:pPr>
      <w:bookmarkStart w:id="5" w:name="_Toc26518_WPSOffice_Level1"/>
      <w:bookmarkStart w:id="6" w:name="_Toc17894"/>
      <w:r>
        <w:rPr>
          <w:rFonts w:hint="eastAsia" w:ascii="仿宋_GB2312" w:hAnsi="仿宋" w:eastAsia="仿宋_GB2312" w:cs="仿宋_GB2312"/>
          <w:color w:val="000000" w:themeColor="text1"/>
          <w:sz w:val="24"/>
          <w14:textFill>
            <w14:solidFill>
              <w14:schemeClr w14:val="tx1"/>
            </w14:solidFill>
          </w14:textFill>
        </w:rPr>
        <w:br w:type="page"/>
      </w:r>
      <w:bookmarkStart w:id="7" w:name="_Toc3582"/>
      <w:bookmarkStart w:id="8" w:name="_Toc24714"/>
      <w:r>
        <w:rPr>
          <w:rFonts w:hint="eastAsia" w:ascii="方正小标宋简体" w:hAnsi="黑体" w:eastAsia="方正小标宋简体" w:cs="仿宋_GB2312"/>
          <w:color w:val="000000" w:themeColor="text1"/>
          <w14:textFill>
            <w14:solidFill>
              <w14:schemeClr w14:val="tx1"/>
            </w14:solidFill>
          </w14:textFill>
        </w:rPr>
        <w:t>第一章 投标人须知</w:t>
      </w:r>
      <w:bookmarkEnd w:id="5"/>
      <w:bookmarkEnd w:id="6"/>
      <w:bookmarkEnd w:id="7"/>
      <w:bookmarkEnd w:id="8"/>
    </w:p>
    <w:p>
      <w:pPr>
        <w:pStyle w:val="3"/>
        <w:adjustRightInd w:val="0"/>
        <w:snapToGrid w:val="0"/>
        <w:spacing w:before="0" w:after="0" w:line="360" w:lineRule="auto"/>
        <w:rPr>
          <w:rFonts w:ascii="楷体_GB2312" w:hAnsi="仿宋" w:eastAsia="楷体_GB2312" w:cs="仿宋_GB2312"/>
          <w:color w:val="000000" w:themeColor="text1"/>
          <w:sz w:val="32"/>
          <w:szCs w:val="36"/>
          <w14:textFill>
            <w14:solidFill>
              <w14:schemeClr w14:val="tx1"/>
            </w14:solidFill>
          </w14:textFill>
        </w:rPr>
      </w:pPr>
      <w:bookmarkStart w:id="9" w:name="_Toc18613_WPSOffice_Level2"/>
      <w:r>
        <w:rPr>
          <w:rFonts w:hint="eastAsia" w:ascii="楷体_GB2312" w:hAnsi="仿宋" w:eastAsia="楷体_GB2312" w:cs="仿宋_GB2312"/>
          <w:color w:val="000000" w:themeColor="text1"/>
          <w:sz w:val="32"/>
          <w:szCs w:val="36"/>
          <w14:textFill>
            <w14:solidFill>
              <w14:schemeClr w14:val="tx1"/>
            </w14:solidFill>
          </w14:textFill>
        </w:rPr>
        <w:t>一 投标人须知表</w:t>
      </w:r>
      <w:bookmarkEnd w:id="9"/>
    </w:p>
    <w:tbl>
      <w:tblPr>
        <w:tblStyle w:val="20"/>
        <w:tblpPr w:leftFromText="180" w:rightFromText="180" w:vertAnchor="text" w:tblpX="-176" w:tblpY="1"/>
        <w:tblOverlap w:val="never"/>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899"/>
        <w:gridCol w:w="6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blHeader/>
        </w:trPr>
        <w:tc>
          <w:tcPr>
            <w:tcW w:w="937" w:type="dxa"/>
            <w:vAlign w:val="center"/>
          </w:tcPr>
          <w:p>
            <w:pPr>
              <w:widowControl/>
              <w:spacing w:line="360" w:lineRule="auto"/>
              <w:ind w:left="-69" w:leftChars="-33" w:right="-69" w:rightChars="-33"/>
              <w:jc w:val="center"/>
              <w:rPr>
                <w:rFonts w:ascii="仿宋_GB2312" w:hAnsi="仿宋" w:eastAsia="仿宋_GB2312" w:cs="仿宋_GB2312"/>
                <w:color w:val="000000" w:themeColor="text1"/>
                <w:kern w:val="0"/>
                <w:sz w:val="24"/>
                <w14:textFill>
                  <w14:solidFill>
                    <w14:schemeClr w14:val="tx1"/>
                  </w14:solidFill>
                </w14:textFill>
              </w:rPr>
            </w:pPr>
            <w:bookmarkStart w:id="10" w:name="招标项目基本内容及要求其他：Block"/>
            <w:bookmarkEnd w:id="10"/>
            <w:bookmarkStart w:id="11" w:name="sys_招标项目基本内容及要求其他：Block"/>
            <w:bookmarkEnd w:id="11"/>
            <w:bookmarkStart w:id="12" w:name="sys_招标项目基本内容及要求：Block"/>
            <w:bookmarkEnd w:id="12"/>
            <w:bookmarkStart w:id="13" w:name="招标项目基本内容及要求：Block"/>
            <w:bookmarkEnd w:id="13"/>
            <w:r>
              <w:rPr>
                <w:rFonts w:hint="eastAsia" w:ascii="仿宋_GB2312" w:hAnsi="仿宋" w:eastAsia="仿宋_GB2312" w:cs="仿宋_GB2312"/>
                <w:color w:val="000000" w:themeColor="text1"/>
                <w:kern w:val="0"/>
                <w:sz w:val="24"/>
                <w14:textFill>
                  <w14:solidFill>
                    <w14:schemeClr w14:val="tx1"/>
                  </w14:solidFill>
                </w14:textFill>
              </w:rPr>
              <w:t>条款号</w:t>
            </w:r>
          </w:p>
        </w:tc>
        <w:tc>
          <w:tcPr>
            <w:tcW w:w="1899" w:type="dxa"/>
            <w:vAlign w:val="center"/>
          </w:tcPr>
          <w:p>
            <w:pPr>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项   目</w:t>
            </w:r>
          </w:p>
        </w:tc>
        <w:tc>
          <w:tcPr>
            <w:tcW w:w="6100"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1.1</w:t>
            </w:r>
          </w:p>
        </w:tc>
        <w:tc>
          <w:tcPr>
            <w:tcW w:w="1899" w:type="dxa"/>
            <w:vAlign w:val="center"/>
          </w:tcPr>
          <w:p>
            <w:pPr>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采购人</w:t>
            </w:r>
          </w:p>
        </w:tc>
        <w:tc>
          <w:tcPr>
            <w:tcW w:w="6100" w:type="dxa"/>
            <w:vAlign w:val="center"/>
          </w:tcPr>
          <w:p>
            <w:pPr>
              <w:widowControl/>
              <w:spacing w:line="360" w:lineRule="auto"/>
              <w:jc w:val="left"/>
              <w:rPr>
                <w:rFonts w:ascii="仿宋_GB2312" w:hAnsi="仿宋" w:eastAsia="仿宋_GB2312"/>
                <w:color w:val="000000" w:themeColor="text1"/>
                <w:kern w:val="0"/>
                <w:sz w:val="24"/>
                <w:u w:val="single"/>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名  称：</w:t>
            </w:r>
            <w:r>
              <w:rPr>
                <w:rFonts w:hint="eastAsia" w:ascii="仿宋_GB2312" w:hAnsi="仿宋" w:eastAsia="仿宋_GB2312"/>
                <w:color w:val="000000" w:themeColor="text1"/>
                <w:kern w:val="0"/>
                <w:sz w:val="24"/>
                <w:u w:val="single"/>
                <w14:textFill>
                  <w14:solidFill>
                    <w14:schemeClr w14:val="tx1"/>
                  </w14:solidFill>
                </w14:textFill>
              </w:rPr>
              <w:t>辽宁省住房和城乡建设厅</w:t>
            </w:r>
          </w:p>
          <w:p>
            <w:pPr>
              <w:widowControl/>
              <w:spacing w:line="360" w:lineRule="auto"/>
              <w:jc w:val="left"/>
              <w:rPr>
                <w:rFonts w:ascii="仿宋_GB2312" w:hAnsi="仿宋" w:eastAsia="仿宋_GB2312"/>
                <w:color w:val="000000" w:themeColor="text1"/>
                <w:kern w:val="0"/>
                <w:sz w:val="24"/>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地  址：</w:t>
            </w:r>
            <w:r>
              <w:rPr>
                <w:rFonts w:hint="eastAsia" w:ascii="仿宋_GB2312" w:hAnsi="仿宋" w:eastAsia="仿宋_GB2312"/>
                <w:color w:val="000000" w:themeColor="text1"/>
                <w:kern w:val="0"/>
                <w:sz w:val="24"/>
                <w:u w:val="single"/>
                <w14:textFill>
                  <w14:solidFill>
                    <w14:schemeClr w14:val="tx1"/>
                  </w14:solidFill>
                </w14:textFill>
              </w:rPr>
              <w:t>辽宁省沈阳市和平区太原北街2号</w:t>
            </w:r>
          </w:p>
          <w:p>
            <w:pPr>
              <w:widowControl/>
              <w:spacing w:line="360" w:lineRule="auto"/>
              <w:jc w:val="left"/>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联系人：</w:t>
            </w:r>
            <w:r>
              <w:rPr>
                <w:rFonts w:hint="eastAsia" w:ascii="仿宋_GB2312" w:hAnsi="仿宋" w:eastAsia="仿宋_GB2312" w:cs="仿宋_GB2312"/>
                <w:color w:val="000000" w:themeColor="text1"/>
                <w:kern w:val="0"/>
                <w:sz w:val="24"/>
                <w:u w:val="single"/>
                <w14:textFill>
                  <w14:solidFill>
                    <w14:schemeClr w14:val="tx1"/>
                  </w14:solidFill>
                </w14:textFill>
              </w:rPr>
              <w:t>王天宇</w:t>
            </w:r>
          </w:p>
          <w:p>
            <w:pPr>
              <w:widowControl/>
              <w:spacing w:line="360" w:lineRule="auto"/>
              <w:jc w:val="left"/>
              <w:rPr>
                <w:rFonts w:ascii="仿宋_GB2312" w:hAnsi="仿宋" w:eastAsia="仿宋_GB2312" w:cs="仿宋_GB2312"/>
                <w:color w:val="000000" w:themeColor="text1"/>
                <w:kern w:val="0"/>
                <w:sz w:val="24"/>
                <w:u w:val="single"/>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电  话：</w:t>
            </w:r>
            <w:r>
              <w:rPr>
                <w:rFonts w:hint="eastAsia" w:ascii="仿宋_GB2312" w:hAnsi="仿宋" w:eastAsia="仿宋_GB2312" w:cs="仿宋_GB2312"/>
                <w:color w:val="000000" w:themeColor="text1"/>
                <w:kern w:val="0"/>
                <w:sz w:val="24"/>
                <w:u w:val="single"/>
                <w14:textFill>
                  <w14:solidFill>
                    <w14:schemeClr w14:val="tx1"/>
                  </w14:solidFill>
                </w14:textFill>
              </w:rPr>
              <w:t>024-23448686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1.2</w:t>
            </w:r>
          </w:p>
        </w:tc>
        <w:tc>
          <w:tcPr>
            <w:tcW w:w="1899" w:type="dxa"/>
            <w:vAlign w:val="center"/>
          </w:tcPr>
          <w:p>
            <w:pPr>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采购组织机构</w:t>
            </w:r>
          </w:p>
        </w:tc>
        <w:tc>
          <w:tcPr>
            <w:tcW w:w="6100" w:type="dxa"/>
            <w:vAlign w:val="center"/>
          </w:tcPr>
          <w:p>
            <w:pPr>
              <w:widowControl/>
              <w:spacing w:line="360" w:lineRule="auto"/>
              <w:jc w:val="left"/>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名  称：</w:t>
            </w:r>
            <w:r>
              <w:rPr>
                <w:rFonts w:hint="eastAsia" w:ascii="仿宋_GB2312" w:hAnsi="仿宋" w:eastAsia="仿宋_GB2312" w:cs="仿宋_GB2312"/>
                <w:color w:val="000000" w:themeColor="text1"/>
                <w:kern w:val="0"/>
                <w:sz w:val="24"/>
                <w:u w:val="single"/>
                <w14:textFill>
                  <w14:solidFill>
                    <w14:schemeClr w14:val="tx1"/>
                  </w14:solidFill>
                </w14:textFill>
              </w:rPr>
              <w:t>辽宁省沈抚公共资源交易服务有限公司</w:t>
            </w:r>
          </w:p>
          <w:p>
            <w:pPr>
              <w:widowControl/>
              <w:spacing w:line="360" w:lineRule="auto"/>
              <w:jc w:val="left"/>
              <w:rPr>
                <w:rFonts w:ascii="仿宋_GB2312" w:hAnsi="仿宋" w:eastAsia="仿宋_GB2312" w:cs="仿宋_GB2312"/>
                <w:color w:val="000000" w:themeColor="text1"/>
                <w:w w:val="90"/>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地  址：</w:t>
            </w:r>
            <w:r>
              <w:rPr>
                <w:rFonts w:hint="eastAsia" w:ascii="仿宋_GB2312" w:hAnsi="仿宋" w:eastAsia="仿宋_GB2312" w:cs="仿宋_GB2312"/>
                <w:color w:val="000000" w:themeColor="text1"/>
                <w:spacing w:val="-2"/>
                <w:w w:val="95"/>
                <w:kern w:val="0"/>
                <w:sz w:val="24"/>
                <w:u w:val="single"/>
                <w14:textFill>
                  <w14:solidFill>
                    <w14:schemeClr w14:val="tx1"/>
                  </w14:solidFill>
                </w14:textFill>
              </w:rPr>
              <w:t>辽宁省沈阳市皇姑区北陵大街34号3号楼1502室</w:t>
            </w:r>
          </w:p>
          <w:p>
            <w:pPr>
              <w:widowControl/>
              <w:spacing w:line="360" w:lineRule="auto"/>
              <w:jc w:val="left"/>
              <w:rPr>
                <w:rFonts w:ascii="仿宋_GB2312" w:hAnsi="仿宋" w:eastAsia="仿宋_GB2312" w:cs="仿宋_GB2312"/>
                <w:color w:val="000000" w:themeColor="text1"/>
                <w:kern w:val="0"/>
                <w:sz w:val="24"/>
                <w:u w:val="single"/>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联系人：</w:t>
            </w:r>
            <w:r>
              <w:rPr>
                <w:rFonts w:hint="eastAsia" w:ascii="仿宋_GB2312" w:hAnsi="仿宋" w:eastAsia="仿宋_GB2312" w:cs="仿宋_GB2312"/>
                <w:color w:val="000000" w:themeColor="text1"/>
                <w:sz w:val="24"/>
                <w:u w:val="single"/>
                <w14:textFill>
                  <w14:solidFill>
                    <w14:schemeClr w14:val="tx1"/>
                  </w14:solidFill>
                </w14:textFill>
              </w:rPr>
              <w:t>吴娜、高雨欣、王磊</w:t>
            </w:r>
          </w:p>
          <w:p>
            <w:pPr>
              <w:widowControl/>
              <w:spacing w:line="360" w:lineRule="auto"/>
              <w:jc w:val="left"/>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电　话：</w:t>
            </w:r>
            <w:r>
              <w:rPr>
                <w:rFonts w:hint="eastAsia" w:ascii="仿宋_GB2312" w:hAnsi="仿宋" w:eastAsia="仿宋_GB2312" w:cs="仿宋_GB2312"/>
                <w:color w:val="000000" w:themeColor="text1"/>
                <w:kern w:val="0"/>
                <w:sz w:val="24"/>
                <w:u w:val="single"/>
                <w14:textFill>
                  <w14:solidFill>
                    <w14:schemeClr w14:val="tx1"/>
                  </w14:solidFill>
                </w14:textFill>
              </w:rPr>
              <w:t>024-31513417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1.3.4</w:t>
            </w:r>
          </w:p>
        </w:tc>
        <w:tc>
          <w:tcPr>
            <w:tcW w:w="1899" w:type="dxa"/>
            <w:vAlign w:val="center"/>
          </w:tcPr>
          <w:p>
            <w:pPr>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合格供应商还要满足的其它资格条件</w:t>
            </w:r>
          </w:p>
        </w:tc>
        <w:tc>
          <w:tcPr>
            <w:tcW w:w="6100" w:type="dxa"/>
            <w:vAlign w:val="center"/>
          </w:tcPr>
          <w:p>
            <w:pPr>
              <w:widowControl/>
              <w:spacing w:line="360" w:lineRule="auto"/>
              <w:jc w:val="left"/>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1.3.5</w:t>
            </w:r>
          </w:p>
        </w:tc>
        <w:tc>
          <w:tcPr>
            <w:tcW w:w="1899" w:type="dxa"/>
            <w:vAlign w:val="center"/>
          </w:tcPr>
          <w:p>
            <w:pPr>
              <w:tabs>
                <w:tab w:val="left" w:pos="1425"/>
              </w:tabs>
              <w:spacing w:line="360" w:lineRule="auto"/>
              <w:jc w:val="center"/>
              <w:rPr>
                <w:rFonts w:ascii="仿宋_GB2312" w:hAnsi="仿宋" w:eastAsia="仿宋_GB2312" w:cs="仿宋_GB2312"/>
                <w:bCs/>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是否为专门面向</w:t>
            </w:r>
            <w:r>
              <w:rPr>
                <w:rFonts w:hint="eastAsia" w:ascii="仿宋_GB2312" w:hAnsi="仿宋" w:eastAsia="仿宋_GB2312" w:cs="仿宋_GB2312"/>
                <w:color w:val="000000" w:themeColor="text1"/>
                <w:sz w:val="24"/>
                <w14:textFill>
                  <w14:solidFill>
                    <w14:schemeClr w14:val="tx1"/>
                  </w14:solidFill>
                </w14:textFill>
              </w:rPr>
              <w:t>中小企业</w:t>
            </w:r>
            <w:r>
              <w:rPr>
                <w:rFonts w:hint="eastAsia" w:ascii="仿宋_GB2312" w:hAnsi="仿宋" w:eastAsia="仿宋_GB2312" w:cs="仿宋_GB2312"/>
                <w:color w:val="000000" w:themeColor="text1"/>
                <w:kern w:val="0"/>
                <w:sz w:val="24"/>
                <w14:textFill>
                  <w14:solidFill>
                    <w14:schemeClr w14:val="tx1"/>
                  </w14:solidFill>
                </w14:textFill>
              </w:rPr>
              <w:t>采购</w:t>
            </w:r>
          </w:p>
        </w:tc>
        <w:tc>
          <w:tcPr>
            <w:tcW w:w="6100" w:type="dxa"/>
            <w:vAlign w:val="center"/>
          </w:tcPr>
          <w:p>
            <w:pPr>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sym w:font="Wingdings 2" w:char="00A3"/>
            </w:r>
            <w:r>
              <w:rPr>
                <w:rFonts w:hint="eastAsia" w:ascii="仿宋_GB2312" w:hAnsi="仿宋" w:eastAsia="仿宋_GB2312" w:cs="仿宋_GB2312"/>
                <w:color w:val="000000" w:themeColor="text1"/>
                <w:kern w:val="0"/>
                <w:sz w:val="24"/>
                <w14:textFill>
                  <w14:solidFill>
                    <w14:schemeClr w14:val="tx1"/>
                  </w14:solidFill>
                </w14:textFill>
              </w:rPr>
              <w:t xml:space="preserve"> 是</w:t>
            </w:r>
          </w:p>
          <w:p>
            <w:pPr>
              <w:spacing w:line="360" w:lineRule="auto"/>
              <w:rPr>
                <w:rFonts w:ascii="仿宋_GB2312" w:hAnsi="仿宋" w:eastAsia="仿宋_GB2312" w:cs="仿宋_GB2312"/>
                <w:bCs/>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sym w:font="Wingdings 2" w:char="0052"/>
            </w:r>
            <w:r>
              <w:rPr>
                <w:rFonts w:hint="eastAsia" w:ascii="仿宋_GB2312" w:hAnsi="仿宋" w:eastAsia="仿宋_GB2312" w:cs="仿宋_GB2312"/>
                <w:color w:val="000000" w:themeColor="text1"/>
                <w:kern w:val="0"/>
                <w:sz w:val="24"/>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1.4</w:t>
            </w:r>
          </w:p>
        </w:tc>
        <w:tc>
          <w:tcPr>
            <w:tcW w:w="1899" w:type="dxa"/>
            <w:vAlign w:val="center"/>
          </w:tcPr>
          <w:p>
            <w:pPr>
              <w:tabs>
                <w:tab w:val="left" w:pos="1425"/>
              </w:tabs>
              <w:spacing w:line="360" w:lineRule="auto"/>
              <w:jc w:val="center"/>
              <w:rPr>
                <w:rFonts w:ascii="仿宋_GB2312" w:hAnsi="仿宋" w:eastAsia="仿宋_GB2312" w:cs="仿宋_GB2312"/>
                <w:b/>
                <w:color w:val="000000" w:themeColor="text1"/>
                <w:kern w:val="0"/>
                <w:sz w:val="24"/>
                <w14:textFill>
                  <w14:solidFill>
                    <w14:schemeClr w14:val="tx1"/>
                  </w14:solidFill>
                </w14:textFill>
              </w:rPr>
            </w:pPr>
            <w:r>
              <w:rPr>
                <w:rFonts w:hint="eastAsia" w:ascii="仿宋_GB2312" w:hAnsi="仿宋" w:eastAsia="仿宋_GB2312" w:cs="仿宋_GB2312"/>
                <w:bCs/>
                <w:color w:val="000000" w:themeColor="text1"/>
                <w:kern w:val="0"/>
                <w:sz w:val="24"/>
                <w14:textFill>
                  <w14:solidFill>
                    <w14:schemeClr w14:val="tx1"/>
                  </w14:solidFill>
                </w14:textFill>
              </w:rPr>
              <w:t>是否允许联合体投标</w:t>
            </w:r>
          </w:p>
        </w:tc>
        <w:tc>
          <w:tcPr>
            <w:tcW w:w="6100" w:type="dxa"/>
            <w:vAlign w:val="center"/>
          </w:tcPr>
          <w:p>
            <w:pPr>
              <w:spacing w:line="360" w:lineRule="auto"/>
              <w:rPr>
                <w:rFonts w:ascii="仿宋_GB2312" w:hAnsi="仿宋" w:eastAsia="仿宋_GB2312" w:cs="仿宋_GB2312"/>
                <w:color w:val="000000" w:themeColor="text1"/>
                <w:kern w:val="0"/>
                <w:sz w:val="24"/>
                <w14:textFill>
                  <w14:solidFill>
                    <w14:schemeClr w14:val="tx1"/>
                  </w14:solidFill>
                </w14:textFill>
              </w:rPr>
            </w:pPr>
            <w:r>
              <w:rPr>
                <w:rFonts w:ascii="仿宋_GB2312" w:hAnsi="仿宋" w:eastAsia="仿宋_GB2312" w:cs="仿宋_GB2312"/>
                <w:color w:val="000000" w:themeColor="text1"/>
                <w:kern w:val="0"/>
                <w:sz w:val="24"/>
                <w14:textFill>
                  <w14:solidFill>
                    <w14:schemeClr w14:val="tx1"/>
                  </w14:solidFill>
                </w14:textFill>
              </w:rPr>
              <w:t>001、003、004包不允许联合体投标；</w:t>
            </w:r>
          </w:p>
          <w:p>
            <w:pPr>
              <w:spacing w:line="360" w:lineRule="auto"/>
              <w:rPr>
                <w:rFonts w:ascii="仿宋_GB2312" w:hAnsi="仿宋" w:eastAsia="仿宋_GB2312" w:cs="仿宋_GB2312"/>
                <w:color w:val="000000" w:themeColor="text1"/>
                <w:kern w:val="0"/>
                <w:sz w:val="24"/>
                <w14:textFill>
                  <w14:solidFill>
                    <w14:schemeClr w14:val="tx1"/>
                  </w14:solidFill>
                </w14:textFill>
              </w:rPr>
            </w:pPr>
            <w:r>
              <w:rPr>
                <w:rFonts w:ascii="仿宋_GB2312" w:hAnsi="仿宋" w:eastAsia="仿宋_GB2312" w:cs="仿宋_GB2312"/>
                <w:b/>
                <w:bCs/>
                <w:color w:val="000000" w:themeColor="text1"/>
                <w:kern w:val="0"/>
                <w:sz w:val="24"/>
                <w14:textFill>
                  <w14:solidFill>
                    <w14:schemeClr w14:val="tx1"/>
                  </w14:solidFill>
                </w14:textFill>
              </w:rPr>
              <w:t>002包允许联合体投标</w:t>
            </w:r>
            <w:r>
              <w:rPr>
                <w:rFonts w:hint="eastAsia" w:ascii="仿宋_GB2312" w:hAnsi="仿宋" w:eastAsia="仿宋_GB2312" w:cs="仿宋_GB2312"/>
                <w:b/>
                <w:bCs/>
                <w:color w:val="000000" w:themeColor="text1"/>
                <w:kern w:val="0"/>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1.4.8</w:t>
            </w:r>
          </w:p>
        </w:tc>
        <w:tc>
          <w:tcPr>
            <w:tcW w:w="1899" w:type="dxa"/>
            <w:vAlign w:val="center"/>
          </w:tcPr>
          <w:p>
            <w:pPr>
              <w:tabs>
                <w:tab w:val="left" w:pos="1425"/>
              </w:tabs>
              <w:spacing w:line="360" w:lineRule="auto"/>
              <w:jc w:val="center"/>
              <w:rPr>
                <w:rFonts w:ascii="仿宋_GB2312" w:hAnsi="仿宋" w:eastAsia="仿宋_GB2312" w:cs="仿宋_GB2312"/>
                <w:bCs/>
                <w:color w:val="000000" w:themeColor="text1"/>
                <w:kern w:val="0"/>
                <w:sz w:val="24"/>
                <w14:textFill>
                  <w14:solidFill>
                    <w14:schemeClr w14:val="tx1"/>
                  </w14:solidFill>
                </w14:textFill>
              </w:rPr>
            </w:pPr>
            <w:r>
              <w:rPr>
                <w:rFonts w:hint="eastAsia" w:ascii="仿宋_GB2312" w:hAnsi="仿宋" w:eastAsia="仿宋_GB2312" w:cs="仿宋_GB2312"/>
                <w:bCs/>
                <w:color w:val="000000" w:themeColor="text1"/>
                <w:kern w:val="0"/>
                <w:sz w:val="24"/>
                <w14:textFill>
                  <w14:solidFill>
                    <w14:schemeClr w14:val="tx1"/>
                  </w14:solidFill>
                </w14:textFill>
              </w:rPr>
              <w:t>联合体投标的其他资格要求</w:t>
            </w:r>
          </w:p>
        </w:tc>
        <w:tc>
          <w:tcPr>
            <w:tcW w:w="6100" w:type="dxa"/>
            <w:vAlign w:val="center"/>
          </w:tcPr>
          <w:p>
            <w:pPr>
              <w:widowControl/>
              <w:numPr>
                <w:ilvl w:val="0"/>
                <w:numId w:val="2"/>
              </w:numPr>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联合体参加投标的，招标文件获取手续由联合体牵头人进行办理。</w:t>
            </w:r>
          </w:p>
          <w:p>
            <w:pPr>
              <w:widowControl/>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（2）联合体参加投标的须提供联合体协议书（见招标文件格式9），相关证明材料由投标人根据联合协议分工情况及招标文件要求提供。</w:t>
            </w:r>
          </w:p>
          <w:p>
            <w:pPr>
              <w:widowControl/>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3）联合体各成员单位均须提供营业执照（或事业单位法人登记证书）、税务登记证和无重大违法记录声明函、无不良信用记录声明函。注：已办理“三证合一”登记的，响应文件中提供营业执照（或事业单位法人登记证书）复印件或影印件即可。</w:t>
            </w:r>
          </w:p>
          <w:p>
            <w:pPr>
              <w:spacing w:line="360" w:lineRule="auto"/>
              <w:rPr>
                <w:rFonts w:ascii="仿宋_GB2312" w:hAnsi="仿宋" w:eastAsia="仿宋_GB2312" w:cs="仿宋_GB2312"/>
                <w:bCs/>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（4）关于联合体缴纳投标保证金：为简化评审现场投标保证金查询、后期投标保证金退还及合同备案清算手续，投标保证金建议由联合体牵头人足额缴纳至本项目投标保证金账号。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937" w:type="dxa"/>
            <w:vAlign w:val="center"/>
          </w:tcPr>
          <w:p>
            <w:pPr>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2.2</w:t>
            </w:r>
          </w:p>
        </w:tc>
        <w:tc>
          <w:tcPr>
            <w:tcW w:w="1899" w:type="dxa"/>
            <w:vAlign w:val="center"/>
          </w:tcPr>
          <w:p>
            <w:pPr>
              <w:tabs>
                <w:tab w:val="left" w:pos="1425"/>
              </w:tabs>
              <w:spacing w:line="360" w:lineRule="auto"/>
              <w:jc w:val="center"/>
              <w:rPr>
                <w:rFonts w:ascii="仿宋_GB2312" w:hAnsi="仿宋" w:eastAsia="仿宋_GB2312" w:cs="仿宋_GB2312"/>
                <w:bCs/>
                <w:color w:val="000000" w:themeColor="text1"/>
                <w:kern w:val="0"/>
                <w:sz w:val="24"/>
                <w14:textFill>
                  <w14:solidFill>
                    <w14:schemeClr w14:val="tx1"/>
                  </w14:solidFill>
                </w14:textFill>
              </w:rPr>
            </w:pPr>
            <w:r>
              <w:rPr>
                <w:rFonts w:hint="eastAsia" w:ascii="仿宋_GB2312" w:hAnsi="仿宋" w:eastAsia="仿宋_GB2312" w:cs="仿宋_GB2312"/>
                <w:bCs/>
                <w:color w:val="000000" w:themeColor="text1"/>
                <w:kern w:val="0"/>
                <w:sz w:val="24"/>
                <w14:textFill>
                  <w14:solidFill>
                    <w14:schemeClr w14:val="tx1"/>
                  </w14:solidFill>
                </w14:textFill>
              </w:rPr>
              <w:t>项目预算金额、最高限价</w:t>
            </w:r>
          </w:p>
        </w:tc>
        <w:tc>
          <w:tcPr>
            <w:tcW w:w="6100" w:type="dxa"/>
            <w:vAlign w:val="center"/>
          </w:tcPr>
          <w:p>
            <w:pPr>
              <w:widowControl/>
              <w:spacing w:line="360" w:lineRule="auto"/>
              <w:rPr>
                <w:rFonts w:ascii="仿宋_GB2312" w:hAnsi="仿宋" w:eastAsia="仿宋_GB2312" w:cs="仿宋_GB2312"/>
                <w:bCs/>
                <w:color w:val="000000" w:themeColor="text1"/>
                <w:kern w:val="0"/>
                <w:sz w:val="24"/>
                <w14:textFill>
                  <w14:solidFill>
                    <w14:schemeClr w14:val="tx1"/>
                  </w14:solidFill>
                </w14:textFill>
              </w:rPr>
            </w:pPr>
            <w:r>
              <w:rPr>
                <w:rFonts w:hint="eastAsia" w:ascii="仿宋_GB2312" w:hAnsi="仿宋" w:eastAsia="仿宋_GB2312" w:cs="仿宋_GB2312"/>
                <w:bCs/>
                <w:color w:val="000000" w:themeColor="text1"/>
                <w:kern w:val="0"/>
                <w:sz w:val="24"/>
                <w:lang w:bidi="ar"/>
                <w14:textFill>
                  <w14:solidFill>
                    <w14:schemeClr w14:val="tx1"/>
                  </w14:solidFill>
                </w14:textFill>
              </w:rPr>
              <w:t>001包预算金额：7,769,000.00元</w:t>
            </w:r>
          </w:p>
          <w:p>
            <w:pPr>
              <w:widowControl/>
              <w:spacing w:line="360" w:lineRule="auto"/>
              <w:rPr>
                <w:rFonts w:ascii="仿宋_GB2312" w:hAnsi="仿宋" w:eastAsia="仿宋_GB2312" w:cs="仿宋_GB2312"/>
                <w:bCs/>
                <w:color w:val="000000" w:themeColor="text1"/>
                <w:kern w:val="0"/>
                <w:sz w:val="24"/>
                <w:lang w:bidi="ar"/>
                <w14:textFill>
                  <w14:solidFill>
                    <w14:schemeClr w14:val="tx1"/>
                  </w14:solidFill>
                </w14:textFill>
              </w:rPr>
            </w:pPr>
            <w:r>
              <w:rPr>
                <w:rFonts w:hint="eastAsia" w:ascii="仿宋_GB2312" w:hAnsi="仿宋" w:eastAsia="仿宋_GB2312" w:cs="仿宋_GB2312"/>
                <w:bCs/>
                <w:color w:val="000000" w:themeColor="text1"/>
                <w:kern w:val="0"/>
                <w:sz w:val="24"/>
                <w:lang w:bidi="ar"/>
                <w14:textFill>
                  <w14:solidFill>
                    <w14:schemeClr w14:val="tx1"/>
                  </w14:solidFill>
                </w14:textFill>
              </w:rPr>
              <w:t>001包最高限价：7,769,000.00元</w:t>
            </w:r>
          </w:p>
          <w:p>
            <w:pPr>
              <w:widowControl/>
              <w:spacing w:line="360" w:lineRule="auto"/>
              <w:rPr>
                <w:rFonts w:ascii="仿宋_GB2312" w:hAnsi="仿宋" w:eastAsia="仿宋_GB2312" w:cs="仿宋_GB2312"/>
                <w:bCs/>
                <w:color w:val="000000" w:themeColor="text1"/>
                <w:kern w:val="0"/>
                <w:sz w:val="24"/>
                <w14:textFill>
                  <w14:solidFill>
                    <w14:schemeClr w14:val="tx1"/>
                  </w14:solidFill>
                </w14:textFill>
              </w:rPr>
            </w:pPr>
            <w:r>
              <w:rPr>
                <w:rFonts w:hint="eastAsia" w:ascii="仿宋_GB2312" w:hAnsi="仿宋" w:eastAsia="仿宋_GB2312" w:cs="仿宋_GB2312"/>
                <w:bCs/>
                <w:color w:val="000000" w:themeColor="text1"/>
                <w:kern w:val="0"/>
                <w:sz w:val="24"/>
                <w:lang w:bidi="ar"/>
                <w14:textFill>
                  <w14:solidFill>
                    <w14:schemeClr w14:val="tx1"/>
                  </w14:solidFill>
                </w14:textFill>
              </w:rPr>
              <w:t>002包预算金额：11,760,000.00元</w:t>
            </w:r>
          </w:p>
          <w:p>
            <w:pPr>
              <w:widowControl/>
              <w:spacing w:line="360" w:lineRule="auto"/>
              <w:rPr>
                <w:rFonts w:ascii="仿宋_GB2312" w:hAnsi="仿宋" w:eastAsia="仿宋_GB2312" w:cs="仿宋_GB2312"/>
                <w:bCs/>
                <w:color w:val="000000" w:themeColor="text1"/>
                <w:sz w:val="24"/>
                <w14:textFill>
                  <w14:solidFill>
                    <w14:schemeClr w14:val="tx1"/>
                  </w14:solidFill>
                </w14:textFill>
              </w:rPr>
            </w:pPr>
            <w:r>
              <w:rPr>
                <w:rFonts w:hint="eastAsia" w:ascii="仿宋_GB2312" w:hAnsi="仿宋" w:eastAsia="仿宋_GB2312" w:cs="仿宋_GB2312"/>
                <w:bCs/>
                <w:color w:val="000000" w:themeColor="text1"/>
                <w:kern w:val="0"/>
                <w:sz w:val="24"/>
                <w:lang w:bidi="ar"/>
                <w14:textFill>
                  <w14:solidFill>
                    <w14:schemeClr w14:val="tx1"/>
                  </w14:solidFill>
                </w14:textFill>
              </w:rPr>
              <w:t>002包最高限价：11,760,000.00元</w:t>
            </w:r>
          </w:p>
          <w:p>
            <w:pPr>
              <w:widowControl/>
              <w:spacing w:line="360" w:lineRule="auto"/>
              <w:rPr>
                <w:rFonts w:ascii="仿宋_GB2312" w:hAnsi="仿宋" w:eastAsia="仿宋_GB2312" w:cs="仿宋_GB2312"/>
                <w:bCs/>
                <w:color w:val="000000" w:themeColor="text1"/>
                <w:kern w:val="0"/>
                <w:sz w:val="24"/>
                <w14:textFill>
                  <w14:solidFill>
                    <w14:schemeClr w14:val="tx1"/>
                  </w14:solidFill>
                </w14:textFill>
              </w:rPr>
            </w:pPr>
            <w:r>
              <w:rPr>
                <w:rFonts w:hint="eastAsia" w:ascii="仿宋_GB2312" w:hAnsi="仿宋" w:eastAsia="仿宋_GB2312" w:cs="仿宋_GB2312"/>
                <w:bCs/>
                <w:color w:val="000000" w:themeColor="text1"/>
                <w:kern w:val="0"/>
                <w:sz w:val="24"/>
                <w:lang w:bidi="ar"/>
                <w14:textFill>
                  <w14:solidFill>
                    <w14:schemeClr w14:val="tx1"/>
                  </w14:solidFill>
                </w14:textFill>
              </w:rPr>
              <w:t>003包预算金额：3,891,000.00元</w:t>
            </w:r>
          </w:p>
          <w:p>
            <w:pPr>
              <w:widowControl/>
              <w:spacing w:line="360" w:lineRule="auto"/>
              <w:rPr>
                <w:rFonts w:ascii="仿宋_GB2312" w:hAnsi="仿宋" w:eastAsia="仿宋_GB2312" w:cs="仿宋_GB2312"/>
                <w:bCs/>
                <w:color w:val="000000" w:themeColor="text1"/>
                <w:kern w:val="0"/>
                <w:sz w:val="24"/>
                <w:lang w:bidi="ar"/>
                <w14:textFill>
                  <w14:solidFill>
                    <w14:schemeClr w14:val="tx1"/>
                  </w14:solidFill>
                </w14:textFill>
              </w:rPr>
            </w:pPr>
            <w:r>
              <w:rPr>
                <w:rFonts w:hint="eastAsia" w:ascii="仿宋_GB2312" w:hAnsi="仿宋" w:eastAsia="仿宋_GB2312" w:cs="仿宋_GB2312"/>
                <w:bCs/>
                <w:color w:val="000000" w:themeColor="text1"/>
                <w:kern w:val="0"/>
                <w:sz w:val="24"/>
                <w:lang w:bidi="ar"/>
                <w14:textFill>
                  <w14:solidFill>
                    <w14:schemeClr w14:val="tx1"/>
                  </w14:solidFill>
                </w14:textFill>
              </w:rPr>
              <w:t>003包最高限价：3,891,000.00元</w:t>
            </w:r>
          </w:p>
          <w:p>
            <w:pPr>
              <w:widowControl/>
              <w:spacing w:line="360" w:lineRule="auto"/>
              <w:rPr>
                <w:rFonts w:ascii="仿宋_GB2312" w:hAnsi="仿宋" w:eastAsia="仿宋_GB2312" w:cs="仿宋_GB2312"/>
                <w:bCs/>
                <w:color w:val="000000" w:themeColor="text1"/>
                <w:kern w:val="0"/>
                <w:sz w:val="24"/>
                <w14:textFill>
                  <w14:solidFill>
                    <w14:schemeClr w14:val="tx1"/>
                  </w14:solidFill>
                </w14:textFill>
              </w:rPr>
            </w:pPr>
            <w:r>
              <w:rPr>
                <w:rFonts w:hint="eastAsia" w:ascii="仿宋_GB2312" w:hAnsi="仿宋" w:eastAsia="仿宋_GB2312" w:cs="仿宋_GB2312"/>
                <w:bCs/>
                <w:color w:val="000000" w:themeColor="text1"/>
                <w:kern w:val="0"/>
                <w:sz w:val="24"/>
                <w:lang w:bidi="ar"/>
                <w14:textFill>
                  <w14:solidFill>
                    <w14:schemeClr w14:val="tx1"/>
                  </w14:solidFill>
                </w14:textFill>
              </w:rPr>
              <w:t>004包预算金额：365,000.00元</w:t>
            </w:r>
          </w:p>
          <w:p>
            <w:pPr>
              <w:widowControl/>
              <w:spacing w:line="360" w:lineRule="auto"/>
              <w:rPr>
                <w:rFonts w:ascii="仿宋_GB2312" w:hAnsi="仿宋" w:eastAsia="仿宋_GB2312" w:cs="仿宋_GB2312"/>
                <w:bCs/>
                <w:color w:val="000000" w:themeColor="text1"/>
                <w:sz w:val="24"/>
                <w14:textFill>
                  <w14:solidFill>
                    <w14:schemeClr w14:val="tx1"/>
                  </w14:solidFill>
                </w14:textFill>
              </w:rPr>
            </w:pPr>
            <w:r>
              <w:rPr>
                <w:rFonts w:hint="eastAsia" w:ascii="仿宋_GB2312" w:hAnsi="仿宋" w:eastAsia="仿宋_GB2312" w:cs="仿宋_GB2312"/>
                <w:bCs/>
                <w:color w:val="000000" w:themeColor="text1"/>
                <w:kern w:val="0"/>
                <w:sz w:val="24"/>
                <w:lang w:bidi="ar"/>
                <w14:textFill>
                  <w14:solidFill>
                    <w14:schemeClr w14:val="tx1"/>
                  </w14:solidFill>
                </w14:textFill>
              </w:rPr>
              <w:t>004包最高限价：365,000.00元</w:t>
            </w:r>
          </w:p>
          <w:p>
            <w:pPr>
              <w:widowControl/>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特别说明：</w:t>
            </w:r>
          </w:p>
          <w:p>
            <w:pPr>
              <w:widowControl/>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1</w:t>
            </w:r>
            <w:r>
              <w:rPr>
                <w:rFonts w:ascii="仿宋_GB2312" w:hAnsi="仿宋" w:eastAsia="仿宋_GB2312" w:cs="仿宋_GB2312"/>
                <w:b/>
                <w:bCs/>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投标人的投标报价不得高于招标文件中给定的最高限价，否则其投标文件视为不响应招标文件实质性要求，按无效投标文件处理；</w:t>
            </w:r>
          </w:p>
          <w:p>
            <w:pPr>
              <w:widowControl/>
              <w:spacing w:line="360" w:lineRule="auto"/>
              <w:ind w:firstLine="480" w:firstLineChars="200"/>
              <w:rPr>
                <w:color w:val="000000" w:themeColor="text1"/>
                <w:szCs w:val="21"/>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2.如某一投标人的投标报价明显低于本项目预算价格或其他投标人报价，有可能影响产品质量或者不能诚信履约的，投标人应按照评标委员会要求的内容和时间提供书面说明，并同时提交相应的佐证材料，投标人不能按照评标委员会要求的内容和时间提供书面说明或说明及佐证材料不足以证明其报价合理性的，其投标文件将视为不响应招标文件实质性要求，作无效投标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4</w:t>
            </w:r>
          </w:p>
        </w:tc>
        <w:tc>
          <w:tcPr>
            <w:tcW w:w="1899" w:type="dxa"/>
            <w:vAlign w:val="center"/>
          </w:tcPr>
          <w:p>
            <w:pPr>
              <w:tabs>
                <w:tab w:val="left" w:pos="1425"/>
              </w:tabs>
              <w:spacing w:line="360" w:lineRule="auto"/>
              <w:jc w:val="center"/>
              <w:rPr>
                <w:rFonts w:ascii="仿宋_GB2312" w:hAnsi="仿宋" w:eastAsia="仿宋_GB2312" w:cs="仿宋_GB2312"/>
                <w:bCs/>
                <w:color w:val="000000" w:themeColor="text1"/>
                <w:kern w:val="0"/>
                <w:sz w:val="24"/>
                <w14:textFill>
                  <w14:solidFill>
                    <w14:schemeClr w14:val="tx1"/>
                  </w14:solidFill>
                </w14:textFill>
              </w:rPr>
            </w:pPr>
            <w:r>
              <w:rPr>
                <w:rFonts w:hint="eastAsia" w:ascii="仿宋_GB2312" w:hAnsi="仿宋" w:eastAsia="仿宋_GB2312" w:cs="仿宋_GB2312"/>
                <w:bCs/>
                <w:color w:val="000000" w:themeColor="text1"/>
                <w:kern w:val="0"/>
                <w:sz w:val="24"/>
                <w14:textFill>
                  <w14:solidFill>
                    <w14:schemeClr w14:val="tx1"/>
                  </w14:solidFill>
                </w14:textFill>
              </w:rPr>
              <w:t>计量单位</w:t>
            </w:r>
          </w:p>
        </w:tc>
        <w:tc>
          <w:tcPr>
            <w:tcW w:w="6100" w:type="dxa"/>
            <w:vAlign w:val="center"/>
          </w:tcPr>
          <w:p>
            <w:pPr>
              <w:spacing w:line="360" w:lineRule="auto"/>
              <w:rPr>
                <w:rFonts w:ascii="仿宋_GB2312" w:hAnsi="仿宋" w:eastAsia="仿宋_GB2312" w:cs="仿宋_GB2312"/>
                <w:bCs/>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sym w:font="Wingdings 2" w:char="0052"/>
            </w:r>
            <w:r>
              <w:rPr>
                <w:rFonts w:hint="eastAsia" w:ascii="仿宋_GB2312" w:hAnsi="仿宋" w:eastAsia="仿宋_GB2312" w:cs="仿宋_GB2312"/>
                <w:color w:val="000000" w:themeColor="text1"/>
                <w:kern w:val="0"/>
                <w:sz w:val="24"/>
                <w14:textFill>
                  <w14:solidFill>
                    <w14:schemeClr w14:val="tx1"/>
                  </w14:solidFill>
                </w14:textFill>
              </w:rPr>
              <w:t xml:space="preserve"> </w:t>
            </w:r>
            <w:r>
              <w:rPr>
                <w:rFonts w:hint="eastAsia" w:ascii="仿宋_GB2312" w:hAnsi="仿宋" w:eastAsia="仿宋_GB2312" w:cs="仿宋_GB2312"/>
                <w:bCs/>
                <w:color w:val="000000" w:themeColor="text1"/>
                <w:kern w:val="0"/>
                <w:sz w:val="24"/>
                <w14:textFill>
                  <w14:solidFill>
                    <w14:schemeClr w14:val="tx1"/>
                  </w14:solidFill>
                </w14:textFill>
              </w:rPr>
              <w:t>中华人民共和国法定计量单位</w:t>
            </w:r>
          </w:p>
          <w:p>
            <w:pPr>
              <w:spacing w:line="360" w:lineRule="auto"/>
              <w:rPr>
                <w:rFonts w:ascii="仿宋_GB2312" w:hAnsi="仿宋" w:eastAsia="仿宋_GB2312" w:cs="仿宋_GB2312"/>
                <w:bCs/>
                <w:color w:val="000000" w:themeColor="text1"/>
                <w:kern w:val="0"/>
                <w:sz w:val="24"/>
                <w14:textFill>
                  <w14:solidFill>
                    <w14:schemeClr w14:val="tx1"/>
                  </w14:solidFill>
                </w14:textFill>
              </w:rPr>
            </w:pPr>
            <w:r>
              <w:rPr>
                <w:rFonts w:hint="eastAsia" w:ascii="仿宋_GB2312" w:hAnsi="仿宋" w:eastAsia="仿宋_GB2312" w:cs="仿宋_GB2312"/>
                <w:bCs/>
                <w:color w:val="000000" w:themeColor="text1"/>
                <w:kern w:val="0"/>
                <w:sz w:val="24"/>
                <w14:textFill>
                  <w14:solidFill>
                    <w14:schemeClr w14:val="tx1"/>
                  </w14:solidFill>
                </w14:textFill>
              </w:rPr>
              <w:sym w:font="Wingdings 2" w:char="00A3"/>
            </w:r>
            <w:r>
              <w:rPr>
                <w:rFonts w:hint="eastAsia" w:ascii="仿宋_GB2312" w:hAnsi="仿宋" w:eastAsia="仿宋_GB2312" w:cs="仿宋_GB2312"/>
                <w:bCs/>
                <w:color w:val="000000" w:themeColor="text1"/>
                <w:kern w:val="0"/>
                <w:sz w:val="24"/>
                <w14:textFill>
                  <w14:solidFill>
                    <w14:schemeClr w14:val="tx1"/>
                  </w14:solidFill>
                </w14:textFill>
              </w:rPr>
              <w:t xml:space="preserve"> 其他：</w:t>
            </w:r>
            <w:r>
              <w:rPr>
                <w:rFonts w:hint="eastAsia" w:ascii="仿宋_GB2312" w:hAnsi="仿宋" w:eastAsia="仿宋_GB2312" w:cs="仿宋_GB2312"/>
                <w:bCs/>
                <w:color w:val="000000" w:themeColor="text1"/>
                <w:kern w:val="0"/>
                <w:sz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6.1</w:t>
            </w:r>
          </w:p>
        </w:tc>
        <w:tc>
          <w:tcPr>
            <w:tcW w:w="1899" w:type="dxa"/>
            <w:vAlign w:val="center"/>
          </w:tcPr>
          <w:p>
            <w:pPr>
              <w:tabs>
                <w:tab w:val="left" w:pos="1425"/>
              </w:tabs>
              <w:spacing w:line="360" w:lineRule="auto"/>
              <w:jc w:val="center"/>
              <w:rPr>
                <w:rFonts w:ascii="仿宋_GB2312" w:hAnsi="仿宋" w:eastAsia="仿宋_GB2312" w:cs="仿宋_GB2312"/>
                <w:bCs/>
                <w:color w:val="000000" w:themeColor="text1"/>
                <w:kern w:val="0"/>
                <w:sz w:val="24"/>
                <w14:textFill>
                  <w14:solidFill>
                    <w14:schemeClr w14:val="tx1"/>
                  </w14:solidFill>
                </w14:textFill>
              </w:rPr>
            </w:pPr>
            <w:r>
              <w:rPr>
                <w:rFonts w:hint="eastAsia" w:ascii="仿宋_GB2312" w:hAnsi="仿宋" w:eastAsia="仿宋_GB2312" w:cs="仿宋_GB2312"/>
                <w:bCs/>
                <w:color w:val="000000" w:themeColor="text1"/>
                <w:kern w:val="0"/>
                <w:sz w:val="24"/>
                <w14:textFill>
                  <w14:solidFill>
                    <w14:schemeClr w14:val="tx1"/>
                  </w14:solidFill>
                </w14:textFill>
              </w:rPr>
              <w:t>现场考察、开标前答疑会</w:t>
            </w:r>
          </w:p>
        </w:tc>
        <w:tc>
          <w:tcPr>
            <w:tcW w:w="6100" w:type="dxa"/>
            <w:vAlign w:val="center"/>
          </w:tcPr>
          <w:p>
            <w:pPr>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sym w:font="Wingdings 2" w:char="0052"/>
            </w:r>
            <w:r>
              <w:rPr>
                <w:rFonts w:hint="eastAsia" w:ascii="仿宋_GB2312" w:hAnsi="仿宋" w:eastAsia="仿宋_GB2312" w:cs="仿宋_GB2312"/>
                <w:color w:val="000000" w:themeColor="text1"/>
                <w:kern w:val="0"/>
                <w:sz w:val="24"/>
                <w14:textFill>
                  <w14:solidFill>
                    <w14:schemeClr w14:val="tx1"/>
                  </w14:solidFill>
                </w14:textFill>
              </w:rPr>
              <w:t xml:space="preserve"> 不组织</w:t>
            </w:r>
          </w:p>
          <w:p>
            <w:pPr>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sym w:font="Wingdings 2" w:char="00A3"/>
            </w:r>
            <w:r>
              <w:rPr>
                <w:rFonts w:hint="eastAsia" w:ascii="仿宋_GB2312" w:hAnsi="仿宋" w:eastAsia="仿宋_GB2312" w:cs="仿宋_GB2312"/>
                <w:color w:val="000000" w:themeColor="text1"/>
                <w:kern w:val="0"/>
                <w:sz w:val="24"/>
                <w14:textFill>
                  <w14:solidFill>
                    <w14:schemeClr w14:val="tx1"/>
                  </w14:solidFill>
                </w14:textFill>
              </w:rPr>
              <w:t xml:space="preserve"> 组织，时  间：</w:t>
            </w:r>
            <w:r>
              <w:rPr>
                <w:rFonts w:hint="eastAsia" w:ascii="仿宋_GB2312" w:hAnsi="仿宋" w:eastAsia="仿宋_GB2312" w:cs="仿宋_GB2312"/>
                <w:bCs/>
                <w:color w:val="000000" w:themeColor="text1"/>
                <w:kern w:val="0"/>
                <w:sz w:val="24"/>
                <w:u w:val="single"/>
                <w14:textFill>
                  <w14:solidFill>
                    <w14:schemeClr w14:val="tx1"/>
                  </w14:solidFill>
                </w14:textFill>
              </w:rPr>
              <w:t xml:space="preserve">        </w:t>
            </w:r>
          </w:p>
          <w:p>
            <w:pPr>
              <w:widowControl/>
              <w:spacing w:line="360" w:lineRule="auto"/>
              <w:ind w:left="-105" w:leftChars="-50" w:firstLine="1084" w:firstLineChars="452"/>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地  点：</w:t>
            </w:r>
            <w:r>
              <w:rPr>
                <w:rFonts w:hint="eastAsia" w:ascii="仿宋_GB2312" w:hAnsi="仿宋" w:eastAsia="仿宋_GB2312" w:cs="仿宋_GB2312"/>
                <w:bCs/>
                <w:color w:val="000000" w:themeColor="text1"/>
                <w:kern w:val="0"/>
                <w:sz w:val="24"/>
                <w:u w:val="single"/>
                <w14:textFill>
                  <w14:solidFill>
                    <w14:schemeClr w14:val="tx1"/>
                  </w14:solidFill>
                </w14:textFill>
              </w:rPr>
              <w:t xml:space="preserve">         </w:t>
            </w:r>
          </w:p>
          <w:p>
            <w:pPr>
              <w:spacing w:line="360" w:lineRule="auto"/>
              <w:ind w:left="-105" w:leftChars="-50" w:firstLine="1084" w:firstLineChars="452"/>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联系人：</w:t>
            </w:r>
            <w:r>
              <w:rPr>
                <w:rFonts w:hint="eastAsia" w:ascii="仿宋_GB2312" w:hAnsi="仿宋" w:eastAsia="仿宋_GB2312" w:cs="仿宋_GB2312"/>
                <w:bCs/>
                <w:color w:val="000000" w:themeColor="text1"/>
                <w:kern w:val="0"/>
                <w:sz w:val="24"/>
                <w:u w:val="single"/>
                <w14:textFill>
                  <w14:solidFill>
                    <w14:schemeClr w14:val="tx1"/>
                  </w14:solidFill>
                </w14:textFill>
              </w:rPr>
              <w:t xml:space="preserve">         </w:t>
            </w:r>
          </w:p>
          <w:p>
            <w:pPr>
              <w:spacing w:line="360" w:lineRule="auto"/>
              <w:ind w:left="-105" w:leftChars="-50" w:firstLine="1084" w:firstLineChars="452"/>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电  话：</w:t>
            </w:r>
            <w:r>
              <w:rPr>
                <w:rFonts w:hint="eastAsia" w:ascii="仿宋_GB2312" w:hAnsi="仿宋" w:eastAsia="仿宋_GB2312" w:cs="仿宋_GB2312"/>
                <w:bCs/>
                <w:color w:val="000000" w:themeColor="text1"/>
                <w:kern w:val="0"/>
                <w:sz w:val="24"/>
                <w:u w:val="single"/>
                <w14:textFill>
                  <w14:solidFill>
                    <w14:schemeClr w14:val="tx1"/>
                  </w14:solidFill>
                </w14:textFill>
              </w:rPr>
              <w:t xml:space="preserve">         </w:t>
            </w:r>
          </w:p>
          <w:p>
            <w:pPr>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sym w:font="Wingdings 2" w:char="00A3"/>
            </w:r>
            <w:r>
              <w:rPr>
                <w:rFonts w:hint="eastAsia" w:ascii="仿宋_GB2312" w:hAnsi="仿宋" w:eastAsia="仿宋_GB2312" w:cs="仿宋_GB2312"/>
                <w:color w:val="000000" w:themeColor="text1"/>
                <w:kern w:val="0"/>
                <w:sz w:val="24"/>
                <w14:textFill>
                  <w14:solidFill>
                    <w14:schemeClr w14:val="tx1"/>
                  </w14:solidFill>
                </w14:textFill>
              </w:rPr>
              <w:t xml:space="preserve"> 组织，招标文件提供期限截止后以书面形式通知。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11.3</w:t>
            </w:r>
          </w:p>
        </w:tc>
        <w:tc>
          <w:tcPr>
            <w:tcW w:w="1899" w:type="dxa"/>
            <w:vAlign w:val="center"/>
          </w:tcPr>
          <w:p>
            <w:pPr>
              <w:tabs>
                <w:tab w:val="left" w:pos="1425"/>
              </w:tabs>
              <w:spacing w:line="360" w:lineRule="auto"/>
              <w:jc w:val="center"/>
              <w:rPr>
                <w:rFonts w:ascii="仿宋_GB2312" w:hAnsi="仿宋" w:eastAsia="仿宋_GB2312" w:cs="仿宋_GB2312"/>
                <w:bCs/>
                <w:color w:val="000000" w:themeColor="text1"/>
                <w:kern w:val="0"/>
                <w:sz w:val="24"/>
                <w14:textFill>
                  <w14:solidFill>
                    <w14:schemeClr w14:val="tx1"/>
                  </w14:solidFill>
                </w14:textFill>
              </w:rPr>
            </w:pPr>
            <w:r>
              <w:rPr>
                <w:rFonts w:hint="eastAsia" w:ascii="仿宋_GB2312" w:hAnsi="仿宋" w:eastAsia="仿宋_GB2312" w:cs="仿宋_GB2312"/>
                <w:bCs/>
                <w:color w:val="000000" w:themeColor="text1"/>
                <w:kern w:val="0"/>
                <w:sz w:val="24"/>
                <w14:textFill>
                  <w14:solidFill>
                    <w14:schemeClr w14:val="tx1"/>
                  </w14:solidFill>
                </w14:textFill>
              </w:rPr>
              <w:t>样品或演示</w:t>
            </w:r>
          </w:p>
        </w:tc>
        <w:tc>
          <w:tcPr>
            <w:tcW w:w="6100" w:type="dxa"/>
            <w:vAlign w:val="center"/>
          </w:tcPr>
          <w:p>
            <w:pPr>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sym w:font="Wingdings 2" w:char="0052"/>
            </w:r>
            <w:r>
              <w:rPr>
                <w:rFonts w:hint="eastAsia" w:ascii="仿宋_GB2312" w:hAnsi="仿宋" w:eastAsia="仿宋_GB2312" w:cs="仿宋_GB2312"/>
                <w:color w:val="000000" w:themeColor="text1"/>
                <w:kern w:val="0"/>
                <w:sz w:val="24"/>
                <w14:textFill>
                  <w14:solidFill>
                    <w14:schemeClr w14:val="tx1"/>
                  </w14:solidFill>
                </w14:textFill>
              </w:rPr>
              <w:t xml:space="preserve"> 不需要</w:t>
            </w:r>
            <w:r>
              <w:rPr>
                <w:rFonts w:hint="eastAsia" w:ascii="仿宋_GB2312" w:hAnsi="仿宋" w:eastAsia="仿宋_GB2312" w:cs="仿宋_GB2312"/>
                <w:bCs/>
                <w:color w:val="000000" w:themeColor="text1"/>
                <w:kern w:val="0"/>
                <w:sz w:val="24"/>
                <w14:textFill>
                  <w14:solidFill>
                    <w14:schemeClr w14:val="tx1"/>
                  </w14:solidFill>
                </w14:textFill>
              </w:rPr>
              <w:t>提供样品</w:t>
            </w:r>
          </w:p>
          <w:p>
            <w:pPr>
              <w:spacing w:line="360" w:lineRule="auto"/>
              <w:rPr>
                <w:rFonts w:ascii="仿宋_GB2312" w:hAnsi="仿宋" w:eastAsia="仿宋_GB2312" w:cs="仿宋_GB2312"/>
                <w:bCs/>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sym w:font="Wingdings 2" w:char="00A3"/>
            </w:r>
            <w:r>
              <w:rPr>
                <w:rFonts w:hint="eastAsia" w:ascii="仿宋_GB2312" w:hAnsi="仿宋" w:eastAsia="仿宋_GB2312" w:cs="仿宋_GB2312"/>
                <w:color w:val="000000" w:themeColor="text1"/>
                <w:kern w:val="0"/>
                <w:sz w:val="24"/>
                <w14:textFill>
                  <w14:solidFill>
                    <w14:schemeClr w14:val="tx1"/>
                  </w14:solidFill>
                </w14:textFill>
              </w:rPr>
              <w:t xml:space="preserve"> 需要</w:t>
            </w:r>
            <w:r>
              <w:rPr>
                <w:rFonts w:hint="eastAsia" w:ascii="仿宋_GB2312" w:hAnsi="仿宋" w:eastAsia="仿宋_GB2312" w:cs="仿宋_GB2312"/>
                <w:bCs/>
                <w:color w:val="000000" w:themeColor="text1"/>
                <w:kern w:val="0"/>
                <w:sz w:val="24"/>
                <w14:textFill>
                  <w14:solidFill>
                    <w14:schemeClr w14:val="tx1"/>
                  </w14:solidFill>
                </w14:textFill>
              </w:rPr>
              <w:t>提供样品（以下不适用）</w:t>
            </w:r>
          </w:p>
          <w:p>
            <w:pPr>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bCs/>
                <w:color w:val="000000" w:themeColor="text1"/>
                <w:kern w:val="0"/>
                <w:sz w:val="24"/>
                <w14:textFill>
                  <w14:solidFill>
                    <w14:schemeClr w14:val="tx1"/>
                  </w14:solidFill>
                </w14:textFill>
              </w:rPr>
              <w:t xml:space="preserve">  </w:t>
            </w:r>
            <w:r>
              <w:rPr>
                <w:rFonts w:hint="eastAsia" w:ascii="仿宋_GB2312" w:hAnsi="仿宋" w:eastAsia="仿宋_GB2312" w:cs="仿宋_GB2312"/>
                <w:color w:val="000000" w:themeColor="text1"/>
                <w:kern w:val="0"/>
                <w:sz w:val="24"/>
                <w14:textFill>
                  <w14:solidFill>
                    <w14:schemeClr w14:val="tx1"/>
                  </w14:solidFill>
                </w14:textFill>
              </w:rPr>
              <w:t>1.递交样品的截止时间：</w:t>
            </w:r>
            <w:r>
              <w:rPr>
                <w:rFonts w:hint="eastAsia" w:ascii="仿宋_GB2312" w:hAnsi="仿宋" w:eastAsia="仿宋_GB2312" w:cs="仿宋_GB2312"/>
                <w:color w:val="000000" w:themeColor="text1"/>
                <w:kern w:val="0"/>
                <w:sz w:val="24"/>
                <w:u w:val="single"/>
                <w14:textFill>
                  <w14:solidFill>
                    <w14:schemeClr w14:val="tx1"/>
                  </w14:solidFill>
                </w14:textFill>
              </w:rPr>
              <w:t xml:space="preserve">   </w:t>
            </w:r>
            <w:r>
              <w:rPr>
                <w:rFonts w:hint="eastAsia" w:ascii="仿宋_GB2312" w:hAnsi="仿宋" w:eastAsia="仿宋_GB2312" w:cs="仿宋_GB2312"/>
                <w:color w:val="000000" w:themeColor="text1"/>
                <w:kern w:val="0"/>
                <w:sz w:val="24"/>
                <w14:textFill>
                  <w14:solidFill>
                    <w14:schemeClr w14:val="tx1"/>
                  </w14:solidFill>
                </w14:textFill>
              </w:rPr>
              <w:t>年</w:t>
            </w:r>
            <w:r>
              <w:rPr>
                <w:rFonts w:hint="eastAsia" w:ascii="仿宋_GB2312" w:hAnsi="仿宋" w:eastAsia="仿宋_GB2312" w:cs="仿宋_GB2312"/>
                <w:color w:val="000000" w:themeColor="text1"/>
                <w:kern w:val="0"/>
                <w:sz w:val="24"/>
                <w:u w:val="single"/>
                <w14:textFill>
                  <w14:solidFill>
                    <w14:schemeClr w14:val="tx1"/>
                  </w14:solidFill>
                </w14:textFill>
              </w:rPr>
              <w:t xml:space="preserve">  </w:t>
            </w:r>
            <w:r>
              <w:rPr>
                <w:rFonts w:hint="eastAsia" w:ascii="仿宋_GB2312" w:hAnsi="仿宋" w:eastAsia="仿宋_GB2312" w:cs="仿宋_GB2312"/>
                <w:color w:val="000000" w:themeColor="text1"/>
                <w:kern w:val="0"/>
                <w:sz w:val="24"/>
                <w14:textFill>
                  <w14:solidFill>
                    <w14:schemeClr w14:val="tx1"/>
                  </w14:solidFill>
                </w14:textFill>
              </w:rPr>
              <w:t>月</w:t>
            </w:r>
            <w:r>
              <w:rPr>
                <w:rFonts w:hint="eastAsia" w:ascii="仿宋_GB2312" w:hAnsi="仿宋" w:eastAsia="仿宋_GB2312" w:cs="仿宋_GB2312"/>
                <w:color w:val="000000" w:themeColor="text1"/>
                <w:kern w:val="0"/>
                <w:sz w:val="24"/>
                <w:u w:val="single"/>
                <w14:textFill>
                  <w14:solidFill>
                    <w14:schemeClr w14:val="tx1"/>
                  </w14:solidFill>
                </w14:textFill>
              </w:rPr>
              <w:t xml:space="preserve">  </w:t>
            </w:r>
            <w:r>
              <w:rPr>
                <w:rFonts w:hint="eastAsia" w:ascii="仿宋_GB2312" w:hAnsi="仿宋" w:eastAsia="仿宋_GB2312" w:cs="仿宋_GB2312"/>
                <w:color w:val="000000" w:themeColor="text1"/>
                <w:kern w:val="0"/>
                <w:sz w:val="24"/>
                <w14:textFill>
                  <w14:solidFill>
                    <w14:schemeClr w14:val="tx1"/>
                  </w14:solidFill>
                </w14:textFill>
              </w:rPr>
              <w:t>日</w:t>
            </w:r>
            <w:r>
              <w:rPr>
                <w:rFonts w:hint="eastAsia" w:ascii="仿宋_GB2312" w:hAnsi="仿宋" w:eastAsia="仿宋_GB2312" w:cs="仿宋_GB2312"/>
                <w:color w:val="000000" w:themeColor="text1"/>
                <w:kern w:val="0"/>
                <w:sz w:val="24"/>
                <w:u w:val="single"/>
                <w14:textFill>
                  <w14:solidFill>
                    <w14:schemeClr w14:val="tx1"/>
                  </w14:solidFill>
                </w14:textFill>
              </w:rPr>
              <w:t xml:space="preserve">  </w:t>
            </w:r>
            <w:r>
              <w:rPr>
                <w:rFonts w:hint="eastAsia" w:ascii="仿宋_GB2312" w:hAnsi="仿宋" w:eastAsia="仿宋_GB2312" w:cs="仿宋_GB2312"/>
                <w:color w:val="000000" w:themeColor="text1"/>
                <w:kern w:val="0"/>
                <w:sz w:val="24"/>
                <w14:textFill>
                  <w14:solidFill>
                    <w14:schemeClr w14:val="tx1"/>
                  </w14:solidFill>
                </w14:textFill>
              </w:rPr>
              <w:t>时（北京时间）</w:t>
            </w:r>
          </w:p>
          <w:p>
            <w:pPr>
              <w:spacing w:line="360" w:lineRule="auto"/>
              <w:ind w:firstLine="600" w:firstLineChars="250"/>
              <w:rPr>
                <w:rFonts w:ascii="仿宋_GB2312" w:hAnsi="仿宋" w:eastAsia="仿宋_GB2312" w:cs="仿宋_GB2312"/>
                <w:color w:val="000000" w:themeColor="text1"/>
                <w:kern w:val="0"/>
                <w:sz w:val="24"/>
                <w:u w:val="single"/>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递交样品地点：</w:t>
            </w:r>
            <w:r>
              <w:rPr>
                <w:rFonts w:hint="eastAsia" w:ascii="仿宋_GB2312" w:hAnsi="仿宋" w:eastAsia="仿宋_GB2312" w:cs="仿宋_GB2312"/>
                <w:color w:val="000000" w:themeColor="text1"/>
                <w:kern w:val="0"/>
                <w:sz w:val="24"/>
                <w:u w:val="single"/>
                <w14:textFill>
                  <w14:solidFill>
                    <w14:schemeClr w14:val="tx1"/>
                  </w14:solidFill>
                </w14:textFill>
              </w:rPr>
              <w:t xml:space="preserve">                     </w:t>
            </w:r>
          </w:p>
          <w:p>
            <w:pPr>
              <w:spacing w:line="360" w:lineRule="auto"/>
              <w:ind w:firstLine="600" w:firstLineChars="250"/>
              <w:rPr>
                <w:rFonts w:ascii="仿宋_GB2312" w:hAnsi="仿宋" w:eastAsia="仿宋_GB2312" w:cs="仿宋_GB2312"/>
                <w:color w:val="000000" w:themeColor="text1"/>
                <w:kern w:val="0"/>
                <w:sz w:val="24"/>
                <w:u w:val="single"/>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递交样品联系人：</w:t>
            </w:r>
            <w:r>
              <w:rPr>
                <w:rFonts w:hint="eastAsia" w:ascii="仿宋_GB2312" w:hAnsi="仿宋" w:eastAsia="仿宋_GB2312" w:cs="仿宋_GB2312"/>
                <w:color w:val="000000" w:themeColor="text1"/>
                <w:kern w:val="0"/>
                <w:sz w:val="24"/>
                <w:u w:val="single"/>
                <w14:textFill>
                  <w14:solidFill>
                    <w14:schemeClr w14:val="tx1"/>
                  </w14:solidFill>
                </w14:textFill>
              </w:rPr>
              <w:t xml:space="preserve">                   </w:t>
            </w:r>
          </w:p>
          <w:p>
            <w:pPr>
              <w:spacing w:line="360" w:lineRule="auto"/>
              <w:ind w:firstLine="600" w:firstLineChars="250"/>
              <w:rPr>
                <w:rFonts w:ascii="仿宋_GB2312" w:hAnsi="仿宋" w:eastAsia="仿宋_GB2312" w:cs="仿宋_GB2312"/>
                <w:color w:val="000000" w:themeColor="text1"/>
                <w:kern w:val="0"/>
                <w:sz w:val="24"/>
                <w:u w:val="single"/>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递交样品联系电话：</w:t>
            </w:r>
            <w:r>
              <w:rPr>
                <w:rFonts w:hint="eastAsia" w:ascii="仿宋_GB2312" w:hAnsi="仿宋" w:eastAsia="仿宋_GB2312" w:cs="仿宋_GB2312"/>
                <w:color w:val="000000" w:themeColor="text1"/>
                <w:kern w:val="0"/>
                <w:sz w:val="24"/>
                <w:u w:val="single"/>
                <w14:textFill>
                  <w14:solidFill>
                    <w14:schemeClr w14:val="tx1"/>
                  </w14:solidFill>
                </w14:textFill>
              </w:rPr>
              <w:t xml:space="preserve">                 </w:t>
            </w:r>
          </w:p>
          <w:p>
            <w:pPr>
              <w:spacing w:line="360" w:lineRule="auto"/>
              <w:ind w:firstLine="240" w:firstLine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2.样品制作的标准和要求：</w:t>
            </w:r>
            <w:r>
              <w:rPr>
                <w:rFonts w:hint="eastAsia" w:ascii="仿宋_GB2312" w:hAnsi="仿宋" w:eastAsia="仿宋_GB2312" w:cs="仿宋_GB2312"/>
                <w:color w:val="000000" w:themeColor="text1"/>
                <w:kern w:val="0"/>
                <w:sz w:val="24"/>
                <w:u w:val="single"/>
                <w14:textFill>
                  <w14:solidFill>
                    <w14:schemeClr w14:val="tx1"/>
                  </w14:solidFill>
                </w14:textFill>
              </w:rPr>
              <w:t xml:space="preserve">              </w:t>
            </w:r>
          </w:p>
          <w:p>
            <w:pPr>
              <w:spacing w:line="360" w:lineRule="auto"/>
              <w:ind w:firstLine="240" w:firstLine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3.随样品提交相关检测报告要求：</w:t>
            </w:r>
            <w:r>
              <w:rPr>
                <w:rFonts w:hint="eastAsia" w:ascii="仿宋_GB2312" w:hAnsi="仿宋" w:eastAsia="仿宋_GB2312" w:cs="仿宋_GB2312"/>
                <w:color w:val="000000" w:themeColor="text1"/>
                <w:kern w:val="0"/>
                <w:sz w:val="24"/>
                <w:u w:val="single"/>
                <w14:textFill>
                  <w14:solidFill>
                    <w14:schemeClr w14:val="tx1"/>
                  </w14:solidFill>
                </w14:textFill>
              </w:rPr>
              <w:t xml:space="preserve">        </w:t>
            </w:r>
          </w:p>
          <w:p>
            <w:pPr>
              <w:spacing w:line="360" w:lineRule="auto"/>
              <w:ind w:firstLine="240" w:firstLine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（包含是否要求提供、检测机构要求、检测内容等）</w:t>
            </w:r>
          </w:p>
          <w:p>
            <w:pPr>
              <w:spacing w:line="360" w:lineRule="auto"/>
              <w:ind w:firstLine="240" w:firstLine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4</w:t>
            </w:r>
            <w:r>
              <w:rPr>
                <w:rFonts w:ascii="仿宋_GB2312" w:hAnsi="仿宋" w:eastAsia="仿宋_GB2312" w:cs="仿宋_GB2312"/>
                <w:color w:val="000000" w:themeColor="text1"/>
                <w:kern w:val="0"/>
                <w:sz w:val="24"/>
                <w14:textFill>
                  <w14:solidFill>
                    <w14:schemeClr w14:val="tx1"/>
                  </w14:solidFill>
                </w14:textFill>
              </w:rPr>
              <w:t>.</w:t>
            </w:r>
            <w:r>
              <w:rPr>
                <w:rFonts w:hint="eastAsia" w:ascii="仿宋_GB2312" w:hAnsi="仿宋" w:eastAsia="仿宋_GB2312" w:cs="仿宋_GB2312"/>
                <w:color w:val="000000" w:themeColor="text1"/>
                <w:kern w:val="0"/>
                <w:sz w:val="24"/>
                <w14:textFill>
                  <w14:solidFill>
                    <w14:schemeClr w14:val="tx1"/>
                  </w14:solidFill>
                </w14:textFill>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pPr>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002包、004包不需要提供演示</w:t>
            </w:r>
          </w:p>
          <w:p>
            <w:pPr>
              <w:spacing w:line="360" w:lineRule="auto"/>
              <w:rPr>
                <w:rFonts w:ascii="仿宋_GB2312" w:hAnsi="仿宋" w:eastAsia="仿宋_GB2312" w:cs="仿宋_GB2312"/>
                <w:b/>
                <w:bCs/>
                <w:color w:val="000000" w:themeColor="text1"/>
                <w:kern w:val="0"/>
                <w:sz w:val="24"/>
                <w14:textFill>
                  <w14:solidFill>
                    <w14:schemeClr w14:val="tx1"/>
                  </w14:solidFill>
                </w14:textFill>
              </w:rPr>
            </w:pPr>
            <w:r>
              <w:rPr>
                <w:rFonts w:hint="eastAsia" w:ascii="仿宋_GB2312" w:hAnsi="仿宋" w:eastAsia="仿宋_GB2312" w:cs="仿宋_GB2312"/>
                <w:b/>
                <w:bCs/>
                <w:color w:val="000000" w:themeColor="text1"/>
                <w:kern w:val="0"/>
                <w:sz w:val="24"/>
                <w14:textFill>
                  <w14:solidFill>
                    <w14:schemeClr w14:val="tx1"/>
                  </w14:solidFill>
                </w14:textFill>
              </w:rPr>
              <w:t>001包、003包需要提供演示</w:t>
            </w:r>
          </w:p>
          <w:p>
            <w:pPr>
              <w:spacing w:line="360" w:lineRule="auto"/>
              <w:ind w:firstLine="480" w:firstLineChars="200"/>
              <w:rPr>
                <w:rFonts w:hint="eastAsia" w:ascii="仿宋_GB2312" w:hAnsi="仿宋" w:eastAsia="仿宋_GB2312" w:cs="仿宋_GB2312"/>
                <w:color w:val="FF0000"/>
                <w:kern w:val="0"/>
                <w:sz w:val="24"/>
                <w:u w:val="single"/>
              </w:rPr>
            </w:pPr>
            <w:r>
              <w:rPr>
                <w:rFonts w:hint="eastAsia" w:ascii="仿宋_GB2312" w:hAnsi="仿宋" w:eastAsia="仿宋_GB2312" w:cs="仿宋_GB2312"/>
                <w:color w:val="FF0000"/>
                <w:kern w:val="0"/>
                <w:sz w:val="24"/>
              </w:rPr>
              <w:t>1.</w:t>
            </w:r>
            <w:r>
              <w:rPr>
                <w:rFonts w:hint="eastAsia" w:ascii="仿宋_GB2312" w:hAnsi="仿宋" w:eastAsia="仿宋_GB2312" w:cs="仿宋_GB2312"/>
                <w:color w:val="FF0000"/>
                <w:kern w:val="0"/>
                <w:sz w:val="24"/>
                <w:lang w:val="en-US" w:eastAsia="zh-CN"/>
              </w:rPr>
              <w:t>001包</w:t>
            </w:r>
            <w:r>
              <w:rPr>
                <w:rFonts w:hint="eastAsia" w:ascii="仿宋_GB2312" w:hAnsi="仿宋" w:eastAsia="仿宋_GB2312" w:cs="仿宋_GB2312"/>
                <w:color w:val="FF0000"/>
                <w:kern w:val="0"/>
                <w:sz w:val="24"/>
              </w:rPr>
              <w:t>演示时间：</w:t>
            </w:r>
            <w:r>
              <w:rPr>
                <w:rFonts w:hint="eastAsia" w:ascii="仿宋_GB2312" w:hAnsi="仿宋" w:eastAsia="仿宋_GB2312" w:cs="仿宋_GB2312"/>
                <w:color w:val="FF0000"/>
                <w:kern w:val="0"/>
                <w:sz w:val="24"/>
                <w:u w:val="single"/>
              </w:rPr>
              <w:t>2023年06月09日10时00分（北京时间）；</w:t>
            </w:r>
          </w:p>
          <w:p>
            <w:pPr>
              <w:spacing w:line="360" w:lineRule="auto"/>
              <w:ind w:firstLine="480" w:firstLineChars="200"/>
              <w:rPr>
                <w:rFonts w:ascii="仿宋_GB2312" w:hAnsi="仿宋" w:eastAsia="仿宋_GB2312" w:cs="仿宋_GB2312"/>
                <w:color w:val="FF0000"/>
                <w:kern w:val="0"/>
                <w:sz w:val="24"/>
              </w:rPr>
            </w:pPr>
            <w:r>
              <w:rPr>
                <w:rFonts w:hint="eastAsia" w:ascii="仿宋_GB2312" w:hAnsi="仿宋" w:eastAsia="仿宋_GB2312" w:cs="仿宋_GB2312"/>
                <w:color w:val="FF0000"/>
                <w:kern w:val="0"/>
                <w:sz w:val="24"/>
                <w:u w:val="none"/>
                <w:lang w:val="en-US" w:eastAsia="zh-CN"/>
              </w:rPr>
              <w:t>003包</w:t>
            </w:r>
            <w:r>
              <w:rPr>
                <w:rFonts w:hint="eastAsia" w:ascii="仿宋_GB2312" w:hAnsi="仿宋" w:eastAsia="仿宋_GB2312" w:cs="仿宋_GB2312"/>
                <w:color w:val="FF0000"/>
                <w:kern w:val="0"/>
                <w:sz w:val="24"/>
                <w:u w:val="none"/>
              </w:rPr>
              <w:t>演示时间：</w:t>
            </w:r>
            <w:r>
              <w:rPr>
                <w:rFonts w:hint="eastAsia" w:ascii="仿宋_GB2312" w:hAnsi="仿宋" w:eastAsia="仿宋_GB2312" w:cs="仿宋_GB2312"/>
                <w:color w:val="FF0000"/>
                <w:kern w:val="0"/>
                <w:sz w:val="24"/>
                <w:u w:val="single"/>
              </w:rPr>
              <w:t>2023年06月</w:t>
            </w:r>
            <w:r>
              <w:rPr>
                <w:rFonts w:hint="eastAsia" w:ascii="仿宋_GB2312" w:hAnsi="仿宋" w:eastAsia="仿宋_GB2312" w:cs="仿宋_GB2312"/>
                <w:color w:val="FF0000"/>
                <w:kern w:val="0"/>
                <w:sz w:val="24"/>
                <w:u w:val="single"/>
                <w:lang w:val="en-US" w:eastAsia="zh-CN"/>
              </w:rPr>
              <w:t>13</w:t>
            </w:r>
            <w:r>
              <w:rPr>
                <w:rFonts w:hint="eastAsia" w:ascii="仿宋_GB2312" w:hAnsi="仿宋" w:eastAsia="仿宋_GB2312" w:cs="仿宋_GB2312"/>
                <w:color w:val="FF0000"/>
                <w:kern w:val="0"/>
                <w:sz w:val="24"/>
                <w:u w:val="single"/>
              </w:rPr>
              <w:t>日10时00分（北京时间）；</w:t>
            </w:r>
          </w:p>
          <w:p>
            <w:pPr>
              <w:spacing w:line="360" w:lineRule="auto"/>
              <w:ind w:firstLine="480" w:firstLineChars="200"/>
              <w:rPr>
                <w:rFonts w:ascii="仿宋_GB2312" w:hAnsi="仿宋" w:eastAsia="仿宋_GB2312" w:cs="仿宋_GB2312"/>
                <w:color w:val="000000" w:themeColor="text1"/>
                <w:kern w:val="0"/>
                <w:sz w:val="24"/>
                <w:u w:val="single"/>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2.演示地点：</w:t>
            </w:r>
            <w:r>
              <w:rPr>
                <w:rFonts w:hint="eastAsia" w:ascii="仿宋_GB2312" w:hAnsi="仿宋" w:eastAsia="仿宋_GB2312" w:cs="仿宋_GB2312"/>
                <w:color w:val="000000" w:themeColor="text1"/>
                <w:kern w:val="0"/>
                <w:sz w:val="24"/>
                <w:u w:val="single"/>
                <w14:textFill>
                  <w14:solidFill>
                    <w14:schemeClr w14:val="tx1"/>
                  </w14:solidFill>
                </w14:textFill>
              </w:rPr>
              <w:t>辽宁省沈抚公共资源交易服务有限公司（沈阳市皇姑区北陵大街34-3号楼1503室）；</w:t>
            </w:r>
          </w:p>
          <w:p>
            <w:pPr>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3.演示顺序：</w:t>
            </w:r>
            <w:r>
              <w:rPr>
                <w:rFonts w:hint="eastAsia" w:ascii="仿宋_GB2312" w:hAnsi="仿宋" w:eastAsia="仿宋_GB2312" w:cs="仿宋_GB2312"/>
                <w:color w:val="000000" w:themeColor="text1"/>
                <w:kern w:val="0"/>
                <w:sz w:val="24"/>
                <w:u w:val="single"/>
                <w14:textFill>
                  <w14:solidFill>
                    <w14:schemeClr w14:val="tx1"/>
                  </w14:solidFill>
                </w14:textFill>
              </w:rPr>
              <w:t>按照现场递交电子备份投标文件顺序；</w:t>
            </w:r>
          </w:p>
          <w:p>
            <w:pPr>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4.演示要求：</w:t>
            </w:r>
            <w:r>
              <w:rPr>
                <w:rFonts w:hint="eastAsia" w:ascii="仿宋_GB2312" w:hAnsi="仿宋" w:eastAsia="仿宋_GB2312" w:cs="仿宋_GB2312"/>
                <w:color w:val="000000" w:themeColor="text1"/>
                <w:kern w:val="0"/>
                <w:sz w:val="24"/>
                <w:u w:val="single"/>
                <w14:textFill>
                  <w14:solidFill>
                    <w14:schemeClr w14:val="tx1"/>
                  </w14:solidFill>
                </w14:textFill>
              </w:rPr>
              <w:t>按照第四章 001包评分细则中“系统演示”及003包评分细则中“系统演示”要求，投标人自带HDMI接口的电脑现场进行演示。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12.1</w:t>
            </w:r>
          </w:p>
        </w:tc>
        <w:tc>
          <w:tcPr>
            <w:tcW w:w="1899" w:type="dxa"/>
            <w:vAlign w:val="center"/>
          </w:tcPr>
          <w:p>
            <w:pPr>
              <w:spacing w:line="360" w:lineRule="auto"/>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投标报价货币要求</w:t>
            </w:r>
          </w:p>
        </w:tc>
        <w:tc>
          <w:tcPr>
            <w:tcW w:w="6100" w:type="dxa"/>
            <w:vAlign w:val="center"/>
          </w:tcPr>
          <w:p>
            <w:pPr>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sym w:font="Wingdings 2" w:char="0052"/>
            </w:r>
            <w:r>
              <w:rPr>
                <w:rFonts w:hint="eastAsia" w:ascii="仿宋_GB2312" w:hAnsi="仿宋" w:eastAsia="仿宋_GB2312" w:cs="仿宋_GB2312"/>
                <w:color w:val="000000" w:themeColor="text1"/>
                <w:kern w:val="0"/>
                <w:sz w:val="24"/>
                <w14:textFill>
                  <w14:solidFill>
                    <w14:schemeClr w14:val="tx1"/>
                  </w14:solidFill>
                </w14:textFill>
              </w:rPr>
              <w:t xml:space="preserve"> 所有投标均按</w:t>
            </w:r>
            <w:r>
              <w:rPr>
                <w:rFonts w:hint="eastAsia" w:ascii="仿宋_GB2312" w:hAnsi="仿宋" w:eastAsia="仿宋_GB2312" w:cs="仿宋_GB2312"/>
                <w:color w:val="000000" w:themeColor="text1"/>
                <w:kern w:val="0"/>
                <w:sz w:val="24"/>
                <w:u w:val="single"/>
                <w14:textFill>
                  <w14:solidFill>
                    <w14:schemeClr w14:val="tx1"/>
                  </w14:solidFill>
                </w14:textFill>
              </w:rPr>
              <w:t xml:space="preserve"> 人民币 </w:t>
            </w:r>
            <w:r>
              <w:rPr>
                <w:rFonts w:hint="eastAsia" w:ascii="仿宋_GB2312" w:hAnsi="仿宋" w:eastAsia="仿宋_GB2312" w:cs="仿宋_GB2312"/>
                <w:color w:val="000000" w:themeColor="text1"/>
                <w:kern w:val="0"/>
                <w:sz w:val="24"/>
                <w14:textFill>
                  <w14:solidFill>
                    <w14:schemeClr w14:val="tx1"/>
                  </w14:solidFill>
                </w14:textFill>
              </w:rPr>
              <w:t>货币进行报价。</w:t>
            </w:r>
          </w:p>
          <w:p>
            <w:pPr>
              <w:spacing w:line="360" w:lineRule="auto"/>
              <w:rPr>
                <w:rFonts w:ascii="仿宋_GB2312" w:hAnsi="仿宋" w:eastAsia="仿宋_GB2312" w:cs="仿宋_GB2312"/>
                <w:color w:val="000000" w:themeColor="text1"/>
                <w:kern w:val="0"/>
                <w:sz w:val="24"/>
                <w:u w:val="single"/>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sym w:font="Wingdings 2" w:char="00A3"/>
            </w:r>
            <w:r>
              <w:rPr>
                <w:rFonts w:hint="eastAsia" w:ascii="仿宋_GB2312" w:hAnsi="仿宋" w:eastAsia="仿宋_GB2312" w:cs="仿宋_GB2312"/>
                <w:color w:val="000000" w:themeColor="text1"/>
                <w:kern w:val="0"/>
                <w:sz w:val="24"/>
                <w14:textFill>
                  <w14:solidFill>
                    <w14:schemeClr w14:val="tx1"/>
                  </w14:solidFill>
                </w14:textFill>
              </w:rPr>
              <w:t xml:space="preserve"> 其它：</w:t>
            </w:r>
            <w:r>
              <w:rPr>
                <w:rFonts w:hint="eastAsia" w:ascii="仿宋_GB2312" w:hAnsi="仿宋" w:eastAsia="仿宋_GB2312" w:cs="仿宋_GB2312"/>
                <w:color w:val="000000" w:themeColor="text1"/>
                <w:kern w:val="0"/>
                <w:sz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13.1</w:t>
            </w:r>
          </w:p>
        </w:tc>
        <w:tc>
          <w:tcPr>
            <w:tcW w:w="1899" w:type="dxa"/>
            <w:vAlign w:val="center"/>
          </w:tcPr>
          <w:p>
            <w:pPr>
              <w:spacing w:line="360" w:lineRule="auto"/>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投标保证金</w:t>
            </w:r>
          </w:p>
        </w:tc>
        <w:tc>
          <w:tcPr>
            <w:tcW w:w="6100" w:type="dxa"/>
            <w:vAlign w:val="center"/>
          </w:tcPr>
          <w:p>
            <w:pPr>
              <w:pStyle w:val="7"/>
              <w:numPr>
                <w:ilvl w:val="0"/>
                <w:numId w:val="3"/>
              </w:numPr>
              <w:spacing w:line="360" w:lineRule="auto"/>
              <w:rPr>
                <w:rFonts w:ascii="仿宋_GB2312" w:hAnsi="仿宋" w:eastAsia="仿宋_GB2312" w:cs="仿宋_GB2312"/>
                <w:color w:val="000000" w:themeColor="text1"/>
                <w:kern w:val="0"/>
                <w:sz w:val="24"/>
                <w:u w:val="single"/>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投标保证金金额：</w:t>
            </w:r>
            <w:r>
              <w:rPr>
                <w:rFonts w:hint="eastAsia" w:ascii="仿宋_GB2312" w:hAnsi="仿宋" w:eastAsia="仿宋_GB2312" w:cs="仿宋_GB2312"/>
                <w:color w:val="000000" w:themeColor="text1"/>
                <w:spacing w:val="-17"/>
                <w:kern w:val="0"/>
                <w:sz w:val="24"/>
                <w:u w:val="single"/>
                <w14:textFill>
                  <w14:solidFill>
                    <w14:schemeClr w14:val="tx1"/>
                  </w14:solidFill>
                </w14:textFill>
              </w:rPr>
              <w:t>人民币贰拾叁万柒仟元整（</w:t>
            </w:r>
            <w:r>
              <w:rPr>
                <w:rFonts w:eastAsia="仿宋_GB2312" w:cs="Calibri"/>
                <w:color w:val="000000" w:themeColor="text1"/>
                <w:spacing w:val="-17"/>
                <w:kern w:val="0"/>
                <w:sz w:val="24"/>
                <w:u w:val="single"/>
                <w14:textFill>
                  <w14:solidFill>
                    <w14:schemeClr w14:val="tx1"/>
                  </w14:solidFill>
                </w14:textFill>
              </w:rPr>
              <w:t>¥</w:t>
            </w:r>
            <w:r>
              <w:rPr>
                <w:rFonts w:hint="eastAsia" w:ascii="仿宋_GB2312" w:hAnsi="仿宋" w:eastAsia="仿宋_GB2312" w:cs="仿宋_GB2312"/>
                <w:color w:val="000000" w:themeColor="text1"/>
                <w:spacing w:val="-17"/>
                <w:kern w:val="0"/>
                <w:sz w:val="24"/>
                <w:u w:val="single"/>
                <w14:textFill>
                  <w14:solidFill>
                    <w14:schemeClr w14:val="tx1"/>
                  </w14:solidFill>
                </w14:textFill>
              </w:rPr>
              <w:t>237,000</w:t>
            </w:r>
            <w:r>
              <w:rPr>
                <w:rFonts w:ascii="仿宋_GB2312" w:hAnsi="仿宋" w:eastAsia="仿宋_GB2312" w:cs="仿宋_GB2312"/>
                <w:color w:val="000000" w:themeColor="text1"/>
                <w:spacing w:val="-17"/>
                <w:kern w:val="0"/>
                <w:sz w:val="24"/>
                <w:u w:val="single"/>
                <w14:textFill>
                  <w14:solidFill>
                    <w14:schemeClr w14:val="tx1"/>
                  </w14:solidFill>
                </w14:textFill>
              </w:rPr>
              <w:t>.00</w:t>
            </w:r>
            <w:r>
              <w:rPr>
                <w:rFonts w:hint="eastAsia" w:ascii="仿宋_GB2312" w:hAnsi="仿宋" w:eastAsia="仿宋_GB2312" w:cs="仿宋_GB2312"/>
                <w:color w:val="000000" w:themeColor="text1"/>
                <w:spacing w:val="-17"/>
                <w:kern w:val="0"/>
                <w:sz w:val="24"/>
                <w:u w:val="single"/>
                <w14:textFill>
                  <w14:solidFill>
                    <w14:schemeClr w14:val="tx1"/>
                  </w14:solidFill>
                </w14:textFill>
              </w:rPr>
              <w:t>）。</w:t>
            </w:r>
          </w:p>
          <w:p>
            <w:pPr>
              <w:pStyle w:val="7"/>
              <w:spacing w:line="360" w:lineRule="auto"/>
              <w:ind w:firstLine="480" w:firstLineChars="200"/>
              <w:rPr>
                <w:rFonts w:ascii="仿宋_GB2312" w:hAnsi="仿宋" w:eastAsia="仿宋_GB2312" w:cs="仿宋_GB2312"/>
                <w:color w:val="000000" w:themeColor="text1"/>
                <w:kern w:val="0"/>
                <w:sz w:val="24"/>
                <w:u w:val="single"/>
                <w:lang w:bidi="ar"/>
                <w14:textFill>
                  <w14:solidFill>
                    <w14:schemeClr w14:val="tx1"/>
                  </w14:solidFill>
                </w14:textFill>
              </w:rPr>
            </w:pPr>
            <w:r>
              <w:rPr>
                <w:rFonts w:hint="eastAsia" w:ascii="仿宋_GB2312" w:hAnsi="仿宋" w:eastAsia="仿宋_GB2312" w:cs="仿宋_GB2312"/>
                <w:color w:val="000000" w:themeColor="text1"/>
                <w:kern w:val="0"/>
                <w:sz w:val="24"/>
                <w:lang w:bidi="ar"/>
                <w14:textFill>
                  <w14:solidFill>
                    <w14:schemeClr w14:val="tx1"/>
                  </w14:solidFill>
                </w14:textFill>
              </w:rPr>
              <w:t>其中：</w:t>
            </w:r>
            <w:r>
              <w:rPr>
                <w:rFonts w:hint="eastAsia" w:ascii="仿宋_GB2312" w:hAnsi="仿宋" w:eastAsia="仿宋_GB2312" w:cs="仿宋_GB2312"/>
                <w:color w:val="000000" w:themeColor="text1"/>
                <w:kern w:val="0"/>
                <w:sz w:val="24"/>
                <w:u w:val="single"/>
                <w:lang w:bidi="ar"/>
                <w14:textFill>
                  <w14:solidFill>
                    <w14:schemeClr w14:val="tx1"/>
                  </w14:solidFill>
                </w14:textFill>
              </w:rPr>
              <w:t>001包：人民币捌万元整（</w:t>
            </w:r>
            <w:r>
              <w:rPr>
                <w:rFonts w:eastAsia="仿宋_GB2312" w:cs="Calibri"/>
                <w:color w:val="000000" w:themeColor="text1"/>
                <w:kern w:val="0"/>
                <w:sz w:val="24"/>
                <w:u w:val="single"/>
                <w:lang w:bidi="ar"/>
                <w14:textFill>
                  <w14:solidFill>
                    <w14:schemeClr w14:val="tx1"/>
                  </w14:solidFill>
                </w14:textFill>
              </w:rPr>
              <w:t>¥</w:t>
            </w:r>
            <w:r>
              <w:rPr>
                <w:rFonts w:hint="eastAsia" w:ascii="仿宋_GB2312" w:hAnsi="仿宋" w:eastAsia="仿宋_GB2312" w:cs="仿宋_GB2312"/>
                <w:color w:val="000000" w:themeColor="text1"/>
                <w:kern w:val="0"/>
                <w:sz w:val="24"/>
                <w:u w:val="single"/>
                <w:lang w:bidi="ar"/>
                <w14:textFill>
                  <w14:solidFill>
                    <w14:schemeClr w14:val="tx1"/>
                  </w14:solidFill>
                </w14:textFill>
              </w:rPr>
              <w:t>80,000.00）；</w:t>
            </w:r>
          </w:p>
          <w:p>
            <w:pPr>
              <w:pStyle w:val="7"/>
              <w:spacing w:line="360" w:lineRule="auto"/>
              <w:ind w:firstLine="1200" w:firstLineChars="500"/>
              <w:rPr>
                <w:rFonts w:ascii="仿宋_GB2312" w:hAnsi="仿宋" w:eastAsia="仿宋_GB2312" w:cs="仿宋_GB2312"/>
                <w:color w:val="000000" w:themeColor="text1"/>
                <w:kern w:val="0"/>
                <w:sz w:val="24"/>
                <w:u w:val="single"/>
                <w:lang w:bidi="ar"/>
                <w14:textFill>
                  <w14:solidFill>
                    <w14:schemeClr w14:val="tx1"/>
                  </w14:solidFill>
                </w14:textFill>
              </w:rPr>
            </w:pPr>
            <w:r>
              <w:rPr>
                <w:rFonts w:hint="eastAsia" w:ascii="仿宋_GB2312" w:hAnsi="仿宋" w:eastAsia="仿宋_GB2312" w:cs="仿宋_GB2312"/>
                <w:color w:val="000000" w:themeColor="text1"/>
                <w:kern w:val="0"/>
                <w:sz w:val="24"/>
                <w:u w:val="single"/>
                <w:lang w:bidi="ar"/>
                <w14:textFill>
                  <w14:solidFill>
                    <w14:schemeClr w14:val="tx1"/>
                  </w14:solidFill>
                </w14:textFill>
              </w:rPr>
              <w:t>002包：人民币壹拾万元整（</w:t>
            </w:r>
            <w:r>
              <w:rPr>
                <w:rFonts w:eastAsia="仿宋_GB2312" w:cs="Calibri"/>
                <w:color w:val="000000" w:themeColor="text1"/>
                <w:kern w:val="0"/>
                <w:sz w:val="24"/>
                <w:u w:val="single"/>
                <w:lang w:bidi="ar"/>
                <w14:textFill>
                  <w14:solidFill>
                    <w14:schemeClr w14:val="tx1"/>
                  </w14:solidFill>
                </w14:textFill>
              </w:rPr>
              <w:t>¥</w:t>
            </w:r>
            <w:r>
              <w:rPr>
                <w:rFonts w:hint="eastAsia" w:ascii="仿宋_GB2312" w:hAnsi="仿宋" w:eastAsia="仿宋_GB2312" w:cs="仿宋_GB2312"/>
                <w:color w:val="000000" w:themeColor="text1"/>
                <w:kern w:val="0"/>
                <w:sz w:val="24"/>
                <w:u w:val="single"/>
                <w:lang w:bidi="ar"/>
                <w14:textFill>
                  <w14:solidFill>
                    <w14:schemeClr w14:val="tx1"/>
                  </w14:solidFill>
                </w14:textFill>
              </w:rPr>
              <w:t>100,000.00）；</w:t>
            </w:r>
          </w:p>
          <w:p>
            <w:pPr>
              <w:pStyle w:val="7"/>
              <w:spacing w:line="360" w:lineRule="auto"/>
              <w:ind w:firstLine="1200" w:firstLineChars="500"/>
              <w:rPr>
                <w:rFonts w:ascii="仿宋_GB2312" w:hAnsi="仿宋" w:eastAsia="仿宋_GB2312" w:cs="仿宋_GB2312"/>
                <w:color w:val="000000" w:themeColor="text1"/>
                <w:kern w:val="0"/>
                <w:sz w:val="24"/>
                <w:u w:val="single"/>
                <w:lang w:bidi="ar"/>
                <w14:textFill>
                  <w14:solidFill>
                    <w14:schemeClr w14:val="tx1"/>
                  </w14:solidFill>
                </w14:textFill>
              </w:rPr>
            </w:pPr>
            <w:r>
              <w:rPr>
                <w:rFonts w:hint="eastAsia" w:ascii="仿宋_GB2312" w:hAnsi="仿宋" w:eastAsia="仿宋_GB2312" w:cs="仿宋_GB2312"/>
                <w:color w:val="000000" w:themeColor="text1"/>
                <w:kern w:val="0"/>
                <w:sz w:val="24"/>
                <w:u w:val="single"/>
                <w:lang w:bidi="ar"/>
                <w14:textFill>
                  <w14:solidFill>
                    <w14:schemeClr w14:val="tx1"/>
                  </w14:solidFill>
                </w14:textFill>
              </w:rPr>
              <w:t>003包：人民币伍万元整（</w:t>
            </w:r>
            <w:r>
              <w:rPr>
                <w:rFonts w:eastAsia="仿宋_GB2312" w:cs="Calibri"/>
                <w:color w:val="000000" w:themeColor="text1"/>
                <w:kern w:val="0"/>
                <w:sz w:val="24"/>
                <w:u w:val="single"/>
                <w:lang w:bidi="ar"/>
                <w14:textFill>
                  <w14:solidFill>
                    <w14:schemeClr w14:val="tx1"/>
                  </w14:solidFill>
                </w14:textFill>
              </w:rPr>
              <w:t>¥</w:t>
            </w:r>
            <w:r>
              <w:rPr>
                <w:rFonts w:hint="eastAsia" w:ascii="仿宋_GB2312" w:hAnsi="仿宋" w:eastAsia="仿宋_GB2312" w:cs="仿宋_GB2312"/>
                <w:color w:val="000000" w:themeColor="text1"/>
                <w:kern w:val="0"/>
                <w:sz w:val="24"/>
                <w:u w:val="single"/>
                <w:lang w:bidi="ar"/>
                <w14:textFill>
                  <w14:solidFill>
                    <w14:schemeClr w14:val="tx1"/>
                  </w14:solidFill>
                </w14:textFill>
              </w:rPr>
              <w:t>50,000.00）；</w:t>
            </w:r>
          </w:p>
          <w:p>
            <w:pPr>
              <w:pStyle w:val="7"/>
              <w:spacing w:line="360" w:lineRule="auto"/>
              <w:ind w:firstLine="1200" w:firstLineChars="500"/>
              <w:rPr>
                <w:rFonts w:ascii="仿宋_GB2312" w:hAnsi="仿宋" w:eastAsia="仿宋_GB2312" w:cs="仿宋_GB2312"/>
                <w:color w:val="000000" w:themeColor="text1"/>
                <w:kern w:val="0"/>
                <w:sz w:val="24"/>
                <w:u w:val="single"/>
                <w14:textFill>
                  <w14:solidFill>
                    <w14:schemeClr w14:val="tx1"/>
                  </w14:solidFill>
                </w14:textFill>
              </w:rPr>
            </w:pPr>
            <w:r>
              <w:rPr>
                <w:rFonts w:hint="eastAsia" w:ascii="仿宋_GB2312" w:hAnsi="仿宋" w:eastAsia="仿宋_GB2312" w:cs="仿宋_GB2312"/>
                <w:color w:val="000000" w:themeColor="text1"/>
                <w:kern w:val="0"/>
                <w:sz w:val="24"/>
                <w:u w:val="single"/>
                <w:lang w:bidi="ar"/>
                <w14:textFill>
                  <w14:solidFill>
                    <w14:schemeClr w14:val="tx1"/>
                  </w14:solidFill>
                </w14:textFill>
              </w:rPr>
              <w:t>004包：人民币柒仟元整（</w:t>
            </w:r>
            <w:r>
              <w:rPr>
                <w:rFonts w:eastAsia="仿宋_GB2312" w:cs="Calibri"/>
                <w:color w:val="000000" w:themeColor="text1"/>
                <w:kern w:val="0"/>
                <w:sz w:val="24"/>
                <w:u w:val="single"/>
                <w:lang w:bidi="ar"/>
                <w14:textFill>
                  <w14:solidFill>
                    <w14:schemeClr w14:val="tx1"/>
                  </w14:solidFill>
                </w14:textFill>
              </w:rPr>
              <w:t>¥</w:t>
            </w:r>
            <w:r>
              <w:rPr>
                <w:rFonts w:hint="eastAsia" w:ascii="仿宋_GB2312" w:hAnsi="仿宋" w:eastAsia="仿宋_GB2312" w:cs="仿宋_GB2312"/>
                <w:color w:val="000000" w:themeColor="text1"/>
                <w:kern w:val="0"/>
                <w:sz w:val="24"/>
                <w:u w:val="single"/>
                <w:lang w:bidi="ar"/>
                <w14:textFill>
                  <w14:solidFill>
                    <w14:schemeClr w14:val="tx1"/>
                  </w14:solidFill>
                </w14:textFill>
              </w:rPr>
              <w:t>7,000.00）；</w:t>
            </w:r>
          </w:p>
          <w:p>
            <w:pPr>
              <w:spacing w:line="360" w:lineRule="auto"/>
              <w:ind w:left="2880" w:hanging="2880" w:hangingChars="1200"/>
              <w:rPr>
                <w:rFonts w:ascii="仿宋_GB2312" w:hAnsi="仿宋" w:eastAsia="仿宋_GB2312" w:cs="仿宋_GB2312"/>
                <w:color w:val="000000" w:themeColor="text1"/>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2</w:t>
            </w:r>
            <w:r>
              <w:rPr>
                <w:rFonts w:hint="eastAsia" w:ascii="仿宋_GB2312" w:hAnsi="仿宋" w:eastAsia="仿宋_GB2312" w:cs="仿宋_GB2312"/>
                <w:color w:val="000000" w:themeColor="text1"/>
                <w:sz w:val="24"/>
                <w14:textFill>
                  <w14:solidFill>
                    <w14:schemeClr w14:val="tx1"/>
                  </w14:solidFill>
                </w14:textFill>
              </w:rPr>
              <w:t>.投标保证金缴纳方式：</w:t>
            </w:r>
            <w:r>
              <w:rPr>
                <w:rFonts w:hint="eastAsia" w:ascii="仿宋_GB2312" w:hAnsi="仿宋" w:eastAsia="仿宋_GB2312" w:cs="仿宋_GB2312"/>
                <w:color w:val="000000" w:themeColor="text1"/>
                <w:kern w:val="0"/>
                <w:sz w:val="24"/>
                <w14:textFill>
                  <w14:solidFill>
                    <w14:schemeClr w14:val="tx1"/>
                  </w14:solidFill>
                </w14:textFill>
              </w:rPr>
              <w:sym w:font="Wingdings 2" w:char="0052"/>
            </w:r>
            <w:r>
              <w:rPr>
                <w:rFonts w:hint="eastAsia" w:ascii="仿宋_GB2312" w:hAnsi="仿宋" w:eastAsia="仿宋_GB2312" w:cs="仿宋_GB2312"/>
                <w:color w:val="000000" w:themeColor="text1"/>
                <w:sz w:val="24"/>
                <w14:textFill>
                  <w14:solidFill>
                    <w14:schemeClr w14:val="tx1"/>
                  </w14:solidFill>
                </w14:textFill>
              </w:rPr>
              <w:t xml:space="preserve">保函 </w:t>
            </w:r>
            <w:r>
              <w:rPr>
                <w:rFonts w:ascii="仿宋_GB2312" w:hAnsi="仿宋" w:eastAsia="仿宋_GB2312" w:cs="仿宋_GB2312"/>
                <w:color w:val="000000" w:themeColor="text1"/>
                <w:sz w:val="24"/>
                <w14:textFill>
                  <w14:solidFill>
                    <w14:schemeClr w14:val="tx1"/>
                  </w14:solidFill>
                </w14:textFill>
              </w:rPr>
              <w:t xml:space="preserve"> </w:t>
            </w:r>
            <w:r>
              <w:rPr>
                <w:rFonts w:hint="eastAsia" w:ascii="仿宋_GB2312" w:hAnsi="仿宋" w:eastAsia="仿宋_GB2312" w:cs="仿宋_GB2312"/>
                <w:color w:val="000000" w:themeColor="text1"/>
                <w:kern w:val="0"/>
                <w:sz w:val="24"/>
                <w14:textFill>
                  <w14:solidFill>
                    <w14:schemeClr w14:val="tx1"/>
                  </w14:solidFill>
                </w14:textFill>
              </w:rPr>
              <w:sym w:font="Wingdings 2" w:char="0052"/>
            </w:r>
            <w:r>
              <w:rPr>
                <w:rFonts w:hint="eastAsia" w:ascii="仿宋_GB2312" w:hAnsi="仿宋" w:eastAsia="仿宋_GB2312" w:cs="仿宋_GB2312"/>
                <w:color w:val="000000" w:themeColor="text1"/>
                <w:sz w:val="24"/>
                <w14:textFill>
                  <w14:solidFill>
                    <w14:schemeClr w14:val="tx1"/>
                  </w14:solidFill>
                </w14:textFill>
              </w:rPr>
              <w:t xml:space="preserve">支票  </w:t>
            </w:r>
            <w:r>
              <w:rPr>
                <w:rFonts w:ascii="仿宋_GB2312" w:hAnsi="仿宋" w:eastAsia="仿宋_GB2312" w:cs="仿宋_GB2312"/>
                <w:color w:val="000000" w:themeColor="text1"/>
                <w:sz w:val="24"/>
                <w14:textFill>
                  <w14:solidFill>
                    <w14:schemeClr w14:val="tx1"/>
                  </w14:solidFill>
                </w14:textFill>
              </w:rPr>
              <w:t xml:space="preserve"> </w:t>
            </w:r>
            <w:r>
              <w:rPr>
                <w:rFonts w:hint="eastAsia" w:ascii="仿宋_GB2312" w:hAnsi="仿宋" w:eastAsia="仿宋_GB2312" w:cs="仿宋_GB2312"/>
                <w:color w:val="000000" w:themeColor="text1"/>
                <w:kern w:val="0"/>
                <w:sz w:val="24"/>
                <w14:textFill>
                  <w14:solidFill>
                    <w14:schemeClr w14:val="tx1"/>
                  </w14:solidFill>
                </w14:textFill>
              </w:rPr>
              <w:sym w:font="Wingdings 2" w:char="0052"/>
            </w:r>
            <w:r>
              <w:rPr>
                <w:rFonts w:hint="eastAsia" w:ascii="仿宋_GB2312" w:hAnsi="仿宋" w:eastAsia="仿宋_GB2312" w:cs="仿宋_GB2312"/>
                <w:color w:val="000000" w:themeColor="text1"/>
                <w:sz w:val="24"/>
                <w14:textFill>
                  <w14:solidFill>
                    <w14:schemeClr w14:val="tx1"/>
                  </w14:solidFill>
                </w14:textFill>
              </w:rPr>
              <w:t xml:space="preserve">电汇  </w:t>
            </w:r>
            <w:r>
              <w:rPr>
                <w:rFonts w:ascii="仿宋_GB2312" w:hAnsi="仿宋" w:eastAsia="仿宋_GB2312" w:cs="仿宋_GB2312"/>
                <w:color w:val="000000" w:themeColor="text1"/>
                <w:sz w:val="24"/>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 xml:space="preserve"> □其他   </w:t>
            </w:r>
          </w:p>
          <w:p>
            <w:pPr>
              <w:spacing w:line="36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保证金收款人银行信息：</w:t>
            </w:r>
          </w:p>
          <w:p>
            <w:pPr>
              <w:spacing w:line="36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xml:space="preserve">    开 户 名：</w:t>
            </w:r>
            <w:r>
              <w:rPr>
                <w:rFonts w:hint="eastAsia" w:ascii="仿宋_GB2312" w:hAnsi="仿宋" w:eastAsia="仿宋_GB2312" w:cs="仿宋_GB2312"/>
                <w:color w:val="000000" w:themeColor="text1"/>
                <w:sz w:val="24"/>
                <w:u w:val="single"/>
                <w14:textFill>
                  <w14:solidFill>
                    <w14:schemeClr w14:val="tx1"/>
                  </w14:solidFill>
                </w14:textFill>
              </w:rPr>
              <w:t>辽宁省沈抚公共资源交易服务有限公司</w:t>
            </w:r>
          </w:p>
          <w:p>
            <w:pPr>
              <w:spacing w:line="36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xml:space="preserve">    开 户 行：</w:t>
            </w:r>
            <w:r>
              <w:rPr>
                <w:rFonts w:hint="eastAsia" w:ascii="仿宋_GB2312" w:hAnsi="仿宋" w:eastAsia="仿宋_GB2312" w:cs="仿宋_GB2312"/>
                <w:color w:val="000000" w:themeColor="text1"/>
                <w:sz w:val="24"/>
                <w:u w:val="single"/>
                <w14:textFill>
                  <w14:solidFill>
                    <w14:schemeClr w14:val="tx1"/>
                  </w14:solidFill>
                </w14:textFill>
              </w:rPr>
              <w:t>兴业银行沈阳皇姑支行</w:t>
            </w:r>
          </w:p>
          <w:p>
            <w:pPr>
              <w:spacing w:line="360" w:lineRule="auto"/>
              <w:ind w:firstLine="480" w:firstLineChars="200"/>
              <w:rPr>
                <w:rFonts w:ascii="仿宋_GB2312" w:hAnsi="仿宋" w:eastAsia="仿宋_GB2312" w:cs="仿宋_GB2312"/>
                <w:color w:val="000000" w:themeColor="text1"/>
                <w:sz w:val="24"/>
                <w:u w:val="single"/>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账    号：</w:t>
            </w:r>
            <w:r>
              <w:rPr>
                <w:rFonts w:ascii="仿宋_GB2312" w:hAnsi="仿宋" w:eastAsia="仿宋_GB2312" w:cs="仿宋_GB2312"/>
                <w:color w:val="000000" w:themeColor="text1"/>
                <w:sz w:val="24"/>
                <w:u w:val="single"/>
                <w14:textFill>
                  <w14:solidFill>
                    <w14:schemeClr w14:val="tx1"/>
                  </w14:solidFill>
                </w14:textFill>
              </w:rPr>
              <w:t>422050100100241316</w:t>
            </w:r>
          </w:p>
          <w:p>
            <w:pPr>
              <w:spacing w:line="360" w:lineRule="auto"/>
              <w:rPr>
                <w:rFonts w:ascii="仿宋_GB2312" w:hAnsi="仿宋" w:eastAsia="仿宋_GB2312" w:cs="仿宋_GB2312"/>
                <w:color w:val="000000" w:themeColor="text1"/>
                <w:sz w:val="24"/>
                <w:u w:val="single"/>
                <w14:textFill>
                  <w14:solidFill>
                    <w14:schemeClr w14:val="tx1"/>
                  </w14:solidFill>
                </w14:textFill>
              </w:rPr>
            </w:pPr>
            <w:r>
              <w:rPr>
                <w:rFonts w:hint="eastAsia" w:ascii="仿宋_GB2312" w:hAnsi="仿宋" w:eastAsia="仿宋_GB2312" w:cs="仿宋_GB2312"/>
                <w:b/>
                <w:color w:val="000000" w:themeColor="text1"/>
                <w:sz w:val="24"/>
                <w:u w:val="single"/>
                <w14:textFill>
                  <w14:solidFill>
                    <w14:schemeClr w14:val="tx1"/>
                  </w14:solidFill>
                </w14:textFill>
              </w:rPr>
              <w:t>注：电汇时注明包组名称及编号（包组名称可简写）。</w:t>
            </w:r>
          </w:p>
          <w:p>
            <w:pPr>
              <w:pStyle w:val="7"/>
              <w:spacing w:line="360" w:lineRule="auto"/>
              <w:rPr>
                <w:rFonts w:ascii="仿宋_GB2312" w:hAnsi="仿宋" w:eastAsia="仿宋_GB2312" w:cs="仿宋_GB2312"/>
                <w:color w:val="000000" w:themeColor="text1"/>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3</w:t>
            </w:r>
            <w:r>
              <w:rPr>
                <w:rFonts w:hint="eastAsia" w:ascii="仿宋_GB2312" w:hAnsi="仿宋" w:eastAsia="仿宋_GB2312" w:cs="仿宋_GB2312"/>
                <w:color w:val="000000" w:themeColor="text1"/>
                <w:sz w:val="24"/>
                <w14:textFill>
                  <w14:solidFill>
                    <w14:schemeClr w14:val="tx1"/>
                  </w14:solidFill>
                </w14:textFill>
              </w:rPr>
              <w:t>.投标保证金到账时间：</w:t>
            </w:r>
          </w:p>
          <w:p>
            <w:pPr>
              <w:pStyle w:val="7"/>
              <w:spacing w:line="360" w:lineRule="auto"/>
              <w:ind w:firstLine="480" w:firstLineChars="200"/>
              <w:rPr>
                <w:rFonts w:ascii="仿宋_GB2312" w:hAnsi="仿宋" w:eastAsia="仿宋_GB2312" w:cs="仿宋_GB2312"/>
                <w:color w:val="000000" w:themeColor="text1"/>
                <w:sz w:val="24"/>
                <w:u w:val="single"/>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3.1</w:t>
            </w:r>
            <w:r>
              <w:rPr>
                <w:rFonts w:hint="eastAsia" w:ascii="仿宋_GB2312" w:hAnsi="仿宋" w:eastAsia="仿宋_GB2312" w:cs="仿宋_GB2312"/>
                <w:color w:val="000000" w:themeColor="text1"/>
                <w:sz w:val="24"/>
                <w14:textFill>
                  <w14:solidFill>
                    <w14:schemeClr w14:val="tx1"/>
                  </w14:solidFill>
                </w14:textFill>
              </w:rPr>
              <w:t>电汇：</w:t>
            </w:r>
            <w:r>
              <w:rPr>
                <w:rFonts w:hint="eastAsia" w:ascii="仿宋_GB2312" w:hAnsi="仿宋" w:eastAsia="仿宋_GB2312" w:cs="仿宋_GB2312"/>
                <w:color w:val="000000" w:themeColor="text1"/>
                <w:sz w:val="24"/>
                <w:u w:val="single"/>
                <w14:textFill>
                  <w14:solidFill>
                    <w14:schemeClr w14:val="tx1"/>
                  </w14:solidFill>
                </w14:textFill>
              </w:rPr>
              <w:t>递交投标文件截止时间前；</w:t>
            </w:r>
          </w:p>
          <w:p>
            <w:pPr>
              <w:pStyle w:val="7"/>
              <w:spacing w:line="360" w:lineRule="auto"/>
              <w:ind w:firstLine="480" w:firstLineChars="200"/>
              <w:rPr>
                <w:rFonts w:ascii="仿宋_GB2312" w:hAnsi="仿宋" w:eastAsia="仿宋_GB2312" w:cs="仿宋_GB2312"/>
                <w:color w:val="000000" w:themeColor="text1"/>
                <w:sz w:val="24"/>
                <w:u w:val="single"/>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3.2</w:t>
            </w:r>
            <w:r>
              <w:rPr>
                <w:rFonts w:hint="eastAsia" w:ascii="仿宋_GB2312" w:hAnsi="仿宋" w:eastAsia="仿宋_GB2312" w:cs="仿宋_GB2312"/>
                <w:color w:val="000000" w:themeColor="text1"/>
                <w:sz w:val="24"/>
                <w14:textFill>
                  <w14:solidFill>
                    <w14:schemeClr w14:val="tx1"/>
                  </w14:solidFill>
                </w14:textFill>
              </w:rPr>
              <w:t>保函：</w:t>
            </w:r>
            <w:r>
              <w:rPr>
                <w:rFonts w:hint="eastAsia" w:ascii="仿宋_GB2312" w:hAnsi="仿宋" w:eastAsia="仿宋_GB2312" w:cs="仿宋_GB2312"/>
                <w:color w:val="000000" w:themeColor="text1"/>
                <w:sz w:val="24"/>
                <w:u w:val="single"/>
                <w14:textFill>
                  <w14:solidFill>
                    <w14:schemeClr w14:val="tx1"/>
                  </w14:solidFill>
                </w14:textFill>
              </w:rPr>
              <w:t>递交投标文件截止时间前将保函和承诺书（后附）送至（邮寄）采购组织机构处，且保证其法律效力；</w:t>
            </w:r>
          </w:p>
          <w:p>
            <w:pPr>
              <w:pStyle w:val="7"/>
              <w:spacing w:line="360" w:lineRule="auto"/>
              <w:ind w:firstLine="480" w:firstLineChars="200"/>
              <w:rPr>
                <w:rFonts w:ascii="仿宋_GB2312" w:hAnsi="仿宋" w:eastAsia="仿宋_GB2312" w:cs="仿宋_GB2312"/>
                <w:color w:val="000000" w:themeColor="text1"/>
                <w:sz w:val="24"/>
                <w:u w:val="single"/>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邮寄地址：</w:t>
            </w:r>
            <w:r>
              <w:rPr>
                <w:rFonts w:hint="eastAsia" w:ascii="仿宋_GB2312" w:hAnsi="仿宋" w:eastAsia="仿宋_GB2312" w:cs="仿宋_GB2312"/>
                <w:color w:val="000000" w:themeColor="text1"/>
                <w:sz w:val="24"/>
                <w:u w:val="single"/>
                <w14:textFill>
                  <w14:solidFill>
                    <w14:schemeClr w14:val="tx1"/>
                  </w14:solidFill>
                </w14:textFill>
              </w:rPr>
              <w:t>沈阳市皇姑区北陵大街3</w:t>
            </w:r>
            <w:r>
              <w:rPr>
                <w:rFonts w:ascii="仿宋_GB2312" w:hAnsi="仿宋" w:eastAsia="仿宋_GB2312" w:cs="仿宋_GB2312"/>
                <w:color w:val="000000" w:themeColor="text1"/>
                <w:sz w:val="24"/>
                <w:u w:val="single"/>
                <w14:textFill>
                  <w14:solidFill>
                    <w14:schemeClr w14:val="tx1"/>
                  </w14:solidFill>
                </w14:textFill>
              </w:rPr>
              <w:t>4</w:t>
            </w:r>
            <w:r>
              <w:rPr>
                <w:rFonts w:hint="eastAsia" w:ascii="仿宋_GB2312" w:hAnsi="仿宋" w:eastAsia="仿宋_GB2312" w:cs="仿宋_GB2312"/>
                <w:color w:val="000000" w:themeColor="text1"/>
                <w:sz w:val="24"/>
                <w:u w:val="single"/>
                <w14:textFill>
                  <w14:solidFill>
                    <w14:schemeClr w14:val="tx1"/>
                  </w14:solidFill>
                </w14:textFill>
              </w:rPr>
              <w:t>-</w:t>
            </w:r>
            <w:r>
              <w:rPr>
                <w:rFonts w:ascii="仿宋_GB2312" w:hAnsi="仿宋" w:eastAsia="仿宋_GB2312" w:cs="仿宋_GB2312"/>
                <w:color w:val="000000" w:themeColor="text1"/>
                <w:sz w:val="24"/>
                <w:u w:val="single"/>
                <w14:textFill>
                  <w14:solidFill>
                    <w14:schemeClr w14:val="tx1"/>
                  </w14:solidFill>
                </w14:textFill>
              </w:rPr>
              <w:t>3</w:t>
            </w:r>
            <w:r>
              <w:rPr>
                <w:rFonts w:hint="eastAsia" w:ascii="仿宋_GB2312" w:hAnsi="仿宋" w:eastAsia="仿宋_GB2312" w:cs="仿宋_GB2312"/>
                <w:color w:val="000000" w:themeColor="text1"/>
                <w:sz w:val="24"/>
                <w:u w:val="single"/>
                <w14:textFill>
                  <w14:solidFill>
                    <w14:schemeClr w14:val="tx1"/>
                  </w14:solidFill>
                </w14:textFill>
              </w:rPr>
              <w:t>号楼1502室</w:t>
            </w:r>
          </w:p>
          <w:p>
            <w:pPr>
              <w:pStyle w:val="7"/>
              <w:spacing w:line="360" w:lineRule="auto"/>
              <w:ind w:firstLine="480" w:firstLineChars="200"/>
              <w:rPr>
                <w:rFonts w:ascii="仿宋_GB2312" w:hAnsi="仿宋" w:eastAsia="仿宋_GB2312" w:cs="仿宋_GB2312"/>
                <w:color w:val="000000" w:themeColor="text1"/>
                <w:sz w:val="24"/>
                <w:u w:val="single"/>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收件人：</w:t>
            </w:r>
            <w:r>
              <w:rPr>
                <w:rFonts w:hint="eastAsia" w:ascii="仿宋_GB2312" w:hAnsi="仿宋" w:eastAsia="仿宋_GB2312" w:cs="仿宋_GB2312"/>
                <w:color w:val="000000" w:themeColor="text1"/>
                <w:sz w:val="24"/>
                <w:u w:val="single"/>
                <w14:textFill>
                  <w14:solidFill>
                    <w14:schemeClr w14:val="tx1"/>
                  </w14:solidFill>
                </w14:textFill>
              </w:rPr>
              <w:t>高雨欣</w:t>
            </w:r>
          </w:p>
          <w:p>
            <w:pPr>
              <w:pStyle w:val="7"/>
              <w:spacing w:line="360" w:lineRule="auto"/>
              <w:ind w:firstLine="480" w:firstLineChars="200"/>
              <w:rPr>
                <w:rFonts w:ascii="仿宋_GB2312" w:hAnsi="仿宋" w:eastAsia="仿宋_GB2312" w:cs="仿宋_GB2312"/>
                <w:color w:val="000000" w:themeColor="text1"/>
                <w:sz w:val="24"/>
                <w:u w:val="single"/>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xml:space="preserve">电 </w:t>
            </w:r>
            <w:r>
              <w:rPr>
                <w:rFonts w:ascii="仿宋_GB2312" w:hAnsi="仿宋" w:eastAsia="仿宋_GB2312" w:cs="仿宋_GB2312"/>
                <w:color w:val="000000" w:themeColor="text1"/>
                <w:sz w:val="24"/>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话：</w:t>
            </w:r>
            <w:r>
              <w:rPr>
                <w:rFonts w:ascii="仿宋_GB2312" w:hAnsi="仿宋" w:eastAsia="仿宋_GB2312" w:cs="仿宋_GB2312"/>
                <w:color w:val="000000" w:themeColor="text1"/>
                <w:sz w:val="24"/>
                <w:u w:val="single"/>
                <w14:textFill>
                  <w14:solidFill>
                    <w14:schemeClr w14:val="tx1"/>
                  </w14:solidFill>
                </w14:textFill>
              </w:rPr>
              <w:t>024-31513417</w:t>
            </w:r>
          </w:p>
          <w:p>
            <w:pPr>
              <w:pStyle w:val="7"/>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3.3</w:t>
            </w:r>
            <w:r>
              <w:rPr>
                <w:rFonts w:hint="eastAsia" w:ascii="仿宋_GB2312" w:hAnsi="仿宋" w:eastAsia="仿宋_GB2312" w:cs="仿宋_GB2312"/>
                <w:color w:val="000000" w:themeColor="text1"/>
                <w:sz w:val="24"/>
                <w14:textFill>
                  <w14:solidFill>
                    <w14:schemeClr w14:val="tx1"/>
                  </w14:solidFill>
                </w14:textFill>
              </w:rPr>
              <w:t>支票：</w:t>
            </w:r>
            <w:r>
              <w:rPr>
                <w:rFonts w:hint="eastAsia" w:ascii="仿宋_GB2312" w:hAnsi="仿宋" w:eastAsia="仿宋_GB2312" w:cs="仿宋_GB2312"/>
                <w:color w:val="000000" w:themeColor="text1"/>
                <w:sz w:val="24"/>
                <w:u w:val="single"/>
                <w14:textFill>
                  <w14:solidFill>
                    <w14:schemeClr w14:val="tx1"/>
                  </w14:solidFill>
                </w14:textFill>
              </w:rPr>
              <w:t>递交投标（响应）文件截止时间前三个工作日送至采购组织机构处。</w:t>
            </w:r>
          </w:p>
          <w:p>
            <w:pPr>
              <w:spacing w:line="36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4.保证金退还方式：</w:t>
            </w:r>
            <w:r>
              <w:rPr>
                <w:rFonts w:hint="eastAsia" w:ascii="仿宋_GB2312" w:hAnsi="仿宋" w:eastAsia="仿宋_GB2312" w:cs="仿宋_GB2312"/>
                <w:color w:val="000000" w:themeColor="text1"/>
                <w:kern w:val="0"/>
                <w:sz w:val="24"/>
                <w:u w:val="single"/>
                <w14:textFill>
                  <w14:solidFill>
                    <w14:schemeClr w14:val="tx1"/>
                  </w14:solidFill>
                </w14:textFill>
              </w:rPr>
              <w:t>详见本款第6条。</w:t>
            </w:r>
          </w:p>
          <w:p>
            <w:pPr>
              <w:spacing w:line="36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5.保证金退还咨询电话：</w:t>
            </w:r>
            <w:r>
              <w:rPr>
                <w:rFonts w:hint="eastAsia" w:ascii="仿宋_GB2312" w:hAnsi="仿宋" w:eastAsia="仿宋_GB2312"/>
                <w:color w:val="000000" w:themeColor="text1"/>
                <w:sz w:val="24"/>
                <w:u w:val="single"/>
                <w14:textFill>
                  <w14:solidFill>
                    <w14:schemeClr w14:val="tx1"/>
                  </w14:solidFill>
                </w14:textFill>
              </w:rPr>
              <w:t>024-31513417</w:t>
            </w:r>
          </w:p>
          <w:p>
            <w:pPr>
              <w:spacing w:line="360" w:lineRule="auto"/>
              <w:rPr>
                <w:rFonts w:ascii="仿宋_GB2312" w:hAnsi="仿宋" w:eastAsia="仿宋_GB2312" w:cs="仿宋_GB2312"/>
                <w:color w:val="000000" w:themeColor="text1"/>
                <w:sz w:val="24"/>
                <w:u w:val="single"/>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6.其它：</w:t>
            </w:r>
          </w:p>
          <w:p>
            <w:pPr>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6.1本项目</w:t>
            </w:r>
            <w:r>
              <w:rPr>
                <w:rFonts w:hint="eastAsia" w:ascii="仿宋_GB2312" w:hAnsi="仿宋" w:eastAsia="仿宋_GB2312" w:cs="仿宋_GB2312"/>
                <w:color w:val="000000" w:themeColor="text1"/>
                <w:kern w:val="0"/>
                <w:sz w:val="24"/>
                <w14:textFill>
                  <w14:solidFill>
                    <w14:schemeClr w14:val="tx1"/>
                  </w14:solidFill>
                </w14:textFill>
              </w:rPr>
              <w:t>投标保证金</w:t>
            </w:r>
            <w:r>
              <w:rPr>
                <w:rFonts w:hint="eastAsia" w:ascii="仿宋_GB2312" w:hAnsi="仿宋" w:eastAsia="仿宋_GB2312" w:cs="仿宋_GB2312"/>
                <w:color w:val="000000" w:themeColor="text1"/>
                <w:sz w:val="24"/>
                <w14:textFill>
                  <w14:solidFill>
                    <w14:schemeClr w14:val="tx1"/>
                  </w14:solidFill>
                </w14:textFill>
              </w:rPr>
              <w:t>递交截止时间与递交响应文件截止时间（开标时间）一致，</w:t>
            </w:r>
            <w:r>
              <w:rPr>
                <w:rFonts w:hint="eastAsia" w:ascii="仿宋_GB2312" w:hAnsi="仿宋" w:eastAsia="仿宋_GB2312" w:cs="仿宋_GB2312"/>
                <w:color w:val="000000" w:themeColor="text1"/>
                <w:kern w:val="0"/>
                <w:sz w:val="24"/>
                <w14:textFill>
                  <w14:solidFill>
                    <w14:schemeClr w14:val="tx1"/>
                  </w14:solidFill>
                </w14:textFill>
              </w:rPr>
              <w:t>投标保证金</w:t>
            </w:r>
            <w:r>
              <w:rPr>
                <w:rFonts w:hint="eastAsia" w:ascii="仿宋_GB2312" w:hAnsi="仿宋" w:eastAsia="仿宋_GB2312" w:cs="仿宋_GB2312"/>
                <w:color w:val="000000" w:themeColor="text1"/>
                <w:sz w:val="24"/>
                <w14:textFill>
                  <w14:solidFill>
                    <w14:schemeClr w14:val="tx1"/>
                  </w14:solidFill>
                </w14:textFill>
              </w:rPr>
              <w:t>以到采购组织机构账户为准。</w:t>
            </w:r>
          </w:p>
          <w:p>
            <w:pPr>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6.2</w:t>
            </w:r>
            <w:r>
              <w:rPr>
                <w:rFonts w:hint="eastAsia" w:ascii="仿宋_GB2312" w:hAnsi="仿宋" w:eastAsia="仿宋_GB2312" w:cs="仿宋_GB2312"/>
                <w:color w:val="000000" w:themeColor="text1"/>
                <w:kern w:val="0"/>
                <w:sz w:val="24"/>
                <w14:textFill>
                  <w14:solidFill>
                    <w14:schemeClr w14:val="tx1"/>
                  </w14:solidFill>
                </w14:textFill>
              </w:rPr>
              <w:t>投标保证金</w:t>
            </w:r>
            <w:r>
              <w:rPr>
                <w:rFonts w:hint="eastAsia" w:ascii="仿宋_GB2312" w:hAnsi="仿宋" w:eastAsia="仿宋_GB2312" w:cs="仿宋_GB2312"/>
                <w:color w:val="000000" w:themeColor="text1"/>
                <w:sz w:val="24"/>
                <w14:textFill>
                  <w14:solidFill>
                    <w14:schemeClr w14:val="tx1"/>
                  </w14:solidFill>
                </w14:textFill>
              </w:rPr>
              <w:t>均以转账方式返还（非保函递交）。投标人提供的返还账户名须与投标人名称一致，否则不予办理，并视为无效投标；投标文件中应正确填写《保证金退还明细表》。</w:t>
            </w:r>
          </w:p>
          <w:p>
            <w:pPr>
              <w:spacing w:line="360" w:lineRule="auto"/>
              <w:ind w:firstLine="480" w:firstLineChars="200"/>
              <w:rPr>
                <w:rFonts w:ascii="仿宋_GB2312" w:hAnsi="仿宋" w:eastAsia="仿宋_GB2312" w:cs="仿宋_GB2312"/>
                <w:color w:val="000000" w:themeColor="text1"/>
                <w:sz w:val="24"/>
                <w:u w:val="single"/>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6.3中标人</w:t>
            </w:r>
            <w:r>
              <w:rPr>
                <w:rFonts w:hint="eastAsia" w:ascii="仿宋_GB2312" w:hAnsi="仿宋" w:eastAsia="仿宋_GB2312" w:cs="仿宋_GB2312"/>
                <w:color w:val="000000" w:themeColor="text1"/>
                <w:kern w:val="0"/>
                <w:sz w:val="24"/>
                <w14:textFill>
                  <w14:solidFill>
                    <w14:schemeClr w14:val="tx1"/>
                  </w14:solidFill>
                </w14:textFill>
              </w:rPr>
              <w:t>投标保证金</w:t>
            </w:r>
            <w:r>
              <w:rPr>
                <w:rFonts w:hint="eastAsia" w:ascii="仿宋_GB2312" w:hAnsi="仿宋" w:eastAsia="仿宋_GB2312" w:cs="仿宋_GB2312"/>
                <w:color w:val="000000" w:themeColor="text1"/>
                <w:sz w:val="24"/>
                <w14:textFill>
                  <w14:solidFill>
                    <w14:schemeClr w14:val="tx1"/>
                  </w14:solidFill>
                </w14:textFill>
              </w:rPr>
              <w:t>在合同签订后5个工作日内返还；未中标人的</w:t>
            </w:r>
            <w:r>
              <w:rPr>
                <w:rFonts w:hint="eastAsia" w:ascii="仿宋_GB2312" w:hAnsi="仿宋" w:eastAsia="仿宋_GB2312" w:cs="仿宋_GB2312"/>
                <w:color w:val="000000" w:themeColor="text1"/>
                <w:kern w:val="0"/>
                <w:sz w:val="24"/>
                <w14:textFill>
                  <w14:solidFill>
                    <w14:schemeClr w14:val="tx1"/>
                  </w14:solidFill>
                </w14:textFill>
              </w:rPr>
              <w:t>投标保证金</w:t>
            </w:r>
            <w:r>
              <w:rPr>
                <w:rFonts w:hint="eastAsia" w:ascii="仿宋_GB2312" w:hAnsi="仿宋" w:eastAsia="仿宋_GB2312" w:cs="仿宋_GB2312"/>
                <w:color w:val="000000" w:themeColor="text1"/>
                <w:sz w:val="24"/>
                <w14:textFill>
                  <w14:solidFill>
                    <w14:schemeClr w14:val="tx1"/>
                  </w14:solidFill>
                </w14:textFill>
              </w:rPr>
              <w:t>在成交通知书核准后5个工作日内返还。</w:t>
            </w:r>
          </w:p>
          <w:p>
            <w:pPr>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注：1</w:t>
            </w:r>
            <w:r>
              <w:rPr>
                <w:rFonts w:ascii="仿宋_GB2312" w:hAnsi="仿宋" w:eastAsia="仿宋_GB2312" w:cs="仿宋_GB2312"/>
                <w:b/>
                <w:bCs/>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财政部门鼓励采用保函的方式递交投标保证金，具体办理流程参阅辽宁政府采购网；</w:t>
            </w:r>
          </w:p>
          <w:p>
            <w:pPr>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2.投标保证金以实际到账或实际缴纳为准，投标人可在投标文件中“递交投标保证金证明”处后附下述材料：</w:t>
            </w:r>
          </w:p>
          <w:p>
            <w:pPr>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电汇：后附电汇汇款凭证；</w:t>
            </w:r>
          </w:p>
          <w:p>
            <w:pPr>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保函（纸质）：后附保函签收证明及承诺书（见格式21）原件；</w:t>
            </w:r>
          </w:p>
          <w:p>
            <w:pPr>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保函（电子）：后附保函复印件及承诺书（见格式</w:t>
            </w:r>
            <w:r>
              <w:rPr>
                <w:rFonts w:ascii="仿宋_GB2312" w:hAnsi="仿宋" w:eastAsia="仿宋_GB2312" w:cs="仿宋_GB2312"/>
                <w:b/>
                <w:bCs/>
                <w:color w:val="000000" w:themeColor="text1"/>
                <w:sz w:val="24"/>
                <w14:textFill>
                  <w14:solidFill>
                    <w14:schemeClr w14:val="tx1"/>
                  </w14:solidFill>
                </w14:textFill>
              </w:rPr>
              <w:t>2</w:t>
            </w:r>
            <w:r>
              <w:rPr>
                <w:rFonts w:hint="eastAsia" w:ascii="仿宋_GB2312" w:hAnsi="仿宋" w:eastAsia="仿宋_GB2312" w:cs="仿宋_GB2312"/>
                <w:b/>
                <w:bCs/>
                <w:color w:val="000000" w:themeColor="text1"/>
                <w:sz w:val="24"/>
                <w14:textFill>
                  <w14:solidFill>
                    <w14:schemeClr w14:val="tx1"/>
                  </w14:solidFill>
                </w14:textFill>
              </w:rPr>
              <w:t>1）原件；</w:t>
            </w:r>
          </w:p>
          <w:p>
            <w:pPr>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支票：后附支票签收证明或缴纳收款收据。</w:t>
            </w:r>
          </w:p>
          <w:p>
            <w:pPr>
              <w:spacing w:line="360" w:lineRule="auto"/>
              <w:ind w:firstLine="480" w:firstLineChars="200"/>
              <w:rPr>
                <w:color w:val="000000" w:themeColor="text1"/>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上述材料仅作为辅证，不作为否决投标的依据，以实际缴纳为准。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15.1</w:t>
            </w:r>
          </w:p>
        </w:tc>
        <w:tc>
          <w:tcPr>
            <w:tcW w:w="1899" w:type="dxa"/>
            <w:vAlign w:val="center"/>
          </w:tcPr>
          <w:p>
            <w:pPr>
              <w:spacing w:line="360" w:lineRule="auto"/>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投标有效期</w:t>
            </w:r>
          </w:p>
        </w:tc>
        <w:tc>
          <w:tcPr>
            <w:tcW w:w="6100" w:type="dxa"/>
            <w:vAlign w:val="center"/>
          </w:tcPr>
          <w:p>
            <w:pPr>
              <w:pStyle w:val="7"/>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u w:val="single"/>
                <w14:textFill>
                  <w14:solidFill>
                    <w14:schemeClr w14:val="tx1"/>
                  </w14:solidFill>
                </w14:textFill>
              </w:rPr>
              <w:t xml:space="preserve">  90  </w:t>
            </w:r>
            <w:r>
              <w:rPr>
                <w:rFonts w:hint="eastAsia" w:ascii="仿宋_GB2312" w:hAnsi="仿宋" w:eastAsia="仿宋_GB2312" w:cs="仿宋_GB2312"/>
                <w:color w:val="000000" w:themeColor="text1"/>
                <w:kern w:val="0"/>
                <w:sz w:val="24"/>
                <w14:textFill>
                  <w14:solidFill>
                    <w14:schemeClr w14:val="tx1"/>
                  </w14:solidFill>
                </w14:textFill>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16.1</w:t>
            </w:r>
          </w:p>
        </w:tc>
        <w:tc>
          <w:tcPr>
            <w:tcW w:w="1899"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投标文件及电子文档份数</w:t>
            </w:r>
          </w:p>
        </w:tc>
        <w:tc>
          <w:tcPr>
            <w:tcW w:w="6100" w:type="dxa"/>
            <w:vAlign w:val="center"/>
          </w:tcPr>
          <w:p>
            <w:pPr>
              <w:widowControl/>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1.电子评审系统上传的投标文件：电子投标文件按辽宁政府采购网相关规定制作上传；</w:t>
            </w:r>
          </w:p>
          <w:p>
            <w:pPr>
              <w:widowControl/>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2</w:t>
            </w:r>
            <w:r>
              <w:rPr>
                <w:rFonts w:ascii="仿宋_GB2312" w:hAnsi="仿宋" w:eastAsia="仿宋_GB2312" w:cs="仿宋_GB2312"/>
                <w:color w:val="000000" w:themeColor="text1"/>
                <w:kern w:val="0"/>
                <w:sz w:val="24"/>
                <w14:textFill>
                  <w14:solidFill>
                    <w14:schemeClr w14:val="tx1"/>
                  </w14:solidFill>
                </w14:textFill>
              </w:rPr>
              <w:t>.</w:t>
            </w:r>
            <w:r>
              <w:rPr>
                <w:rFonts w:hint="eastAsia" w:ascii="仿宋_GB2312" w:hAnsi="仿宋" w:eastAsia="仿宋_GB2312" w:cs="仿宋_GB2312"/>
                <w:color w:val="000000" w:themeColor="text1"/>
                <w:kern w:val="0"/>
                <w:sz w:val="24"/>
                <w14:textFill>
                  <w14:solidFill>
                    <w14:schemeClr w14:val="tx1"/>
                  </w14:solidFill>
                </w14:textFill>
              </w:rPr>
              <w:t>加密备份电子文档</w:t>
            </w:r>
            <w:r>
              <w:rPr>
                <w:rFonts w:hint="eastAsia" w:ascii="仿宋_GB2312" w:hAnsi="仿宋" w:eastAsia="仿宋_GB2312" w:cs="仿宋_GB2312"/>
                <w:color w:val="000000" w:themeColor="text1"/>
                <w:kern w:val="0"/>
                <w:sz w:val="24"/>
                <w:u w:val="single"/>
                <w14:textFill>
                  <w14:solidFill>
                    <w14:schemeClr w14:val="tx1"/>
                  </w14:solidFill>
                </w14:textFill>
              </w:rPr>
              <w:t xml:space="preserve"> 1 </w:t>
            </w:r>
            <w:r>
              <w:rPr>
                <w:rFonts w:hint="eastAsia" w:ascii="仿宋_GB2312" w:hAnsi="仿宋" w:eastAsia="仿宋_GB2312" w:cs="仿宋_GB2312"/>
                <w:color w:val="000000" w:themeColor="text1"/>
                <w:kern w:val="0"/>
                <w:sz w:val="24"/>
                <w14:textFill>
                  <w14:solidFill>
                    <w14:schemeClr w14:val="tx1"/>
                  </w14:solidFill>
                </w14:textFill>
              </w:rPr>
              <w:t>份，电子文档加密且密封现场递交；</w:t>
            </w:r>
          </w:p>
          <w:p>
            <w:pPr>
              <w:spacing w:line="36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3.开标现场无需递交纸质文件。</w:t>
            </w:r>
          </w:p>
          <w:p>
            <w:pPr>
              <w:spacing w:line="360" w:lineRule="auto"/>
              <w:rPr>
                <w:rFonts w:ascii="仿宋_GB2312" w:hAnsi="仿宋" w:eastAsia="仿宋_GB2312" w:cs="仿宋_GB2312"/>
                <w:b/>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注：（1）对投标文件签章要求：要求电子评审系统上传的投标文件及加密备份文件均需按照招标文件规定的格式内容使用电子签章或盖章，并按招标文件规定的投标文件格式进行签章;</w:t>
            </w:r>
          </w:p>
          <w:p>
            <w:pPr>
              <w:spacing w:line="360" w:lineRule="auto"/>
              <w:rPr>
                <w:rFonts w:ascii="仿宋_GB2312" w:hAnsi="仿宋" w:eastAsia="仿宋_GB2312" w:cs="仿宋_GB2312"/>
                <w:b/>
                <w:color w:val="000000" w:themeColor="text1"/>
                <w:kern w:val="0"/>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2）中标人在中标后需要递交一正二副的纸质版投标文件（按招标文件要求对投标文件投标人须知中“签署及规定”的要求胶装制作，无需密封标记）至采购组织机构处，投标文件内容应与电子版投标文件内容一致，否则由此造成的一切后果由中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18.1</w:t>
            </w:r>
          </w:p>
        </w:tc>
        <w:tc>
          <w:tcPr>
            <w:tcW w:w="1899" w:type="dxa"/>
            <w:vAlign w:val="center"/>
          </w:tcPr>
          <w:p>
            <w:pPr>
              <w:widowControl/>
              <w:spacing w:line="360" w:lineRule="auto"/>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递交投标文件截止时间、地点</w:t>
            </w:r>
          </w:p>
        </w:tc>
        <w:tc>
          <w:tcPr>
            <w:tcW w:w="6100" w:type="dxa"/>
            <w:vAlign w:val="center"/>
          </w:tcPr>
          <w:p>
            <w:pPr>
              <w:widowControl/>
              <w:spacing w:line="360" w:lineRule="auto"/>
              <w:rPr>
                <w:rFonts w:hint="eastAsia" w:ascii="仿宋_GB2312" w:hAnsi="仿宋" w:eastAsia="仿宋_GB2312" w:cs="仿宋_GB2312"/>
                <w:color w:val="FF0000"/>
                <w:kern w:val="0"/>
                <w:sz w:val="24"/>
              </w:rPr>
            </w:pPr>
            <w:r>
              <w:rPr>
                <w:rFonts w:hint="eastAsia" w:ascii="仿宋_GB2312" w:hAnsi="仿宋" w:eastAsia="仿宋_GB2312" w:cs="仿宋_GB2312"/>
                <w:color w:val="FF0000"/>
                <w:kern w:val="0"/>
                <w:sz w:val="24"/>
                <w:lang w:val="en-US" w:eastAsia="zh-CN"/>
              </w:rPr>
              <w:t>001包、004包</w:t>
            </w:r>
            <w:r>
              <w:rPr>
                <w:rFonts w:hint="eastAsia" w:ascii="仿宋_GB2312" w:hAnsi="仿宋" w:eastAsia="仿宋_GB2312" w:cs="仿宋_GB2312"/>
                <w:color w:val="FF0000"/>
                <w:kern w:val="0"/>
                <w:sz w:val="24"/>
              </w:rPr>
              <w:t>截止时间</w:t>
            </w:r>
            <w:r>
              <w:rPr>
                <w:rFonts w:hint="eastAsia" w:ascii="仿宋_GB2312" w:hAnsi="仿宋" w:eastAsia="仿宋_GB2312" w:cs="仿宋_GB2312"/>
                <w:color w:val="FF0000"/>
                <w:kern w:val="0"/>
                <w:sz w:val="24"/>
                <w:lang w:val="en-US" w:eastAsia="zh-CN"/>
              </w:rPr>
              <w:t>：2023年06月09日09时30分</w:t>
            </w:r>
            <w:r>
              <w:rPr>
                <w:rFonts w:hint="eastAsia" w:ascii="仿宋_GB2312" w:hAnsi="仿宋" w:eastAsia="仿宋_GB2312" w:cs="仿宋_GB2312"/>
                <w:color w:val="FF0000"/>
                <w:kern w:val="0"/>
                <w:sz w:val="24"/>
              </w:rPr>
              <w:t>（北京时间）</w:t>
            </w:r>
          </w:p>
          <w:p>
            <w:pPr>
              <w:widowControl/>
              <w:spacing w:line="360" w:lineRule="auto"/>
              <w:rPr>
                <w:rFonts w:hint="eastAsia" w:ascii="仿宋_GB2312" w:hAnsi="仿宋" w:eastAsia="仿宋_GB2312" w:cs="仿宋_GB2312"/>
                <w:color w:val="FF0000"/>
                <w:kern w:val="0"/>
                <w:sz w:val="24"/>
              </w:rPr>
            </w:pPr>
            <w:r>
              <w:rPr>
                <w:rFonts w:hint="eastAsia" w:ascii="仿宋_GB2312" w:hAnsi="仿宋" w:eastAsia="仿宋_GB2312" w:cs="仿宋_GB2312"/>
                <w:color w:val="FF0000"/>
                <w:kern w:val="0"/>
                <w:sz w:val="24"/>
                <w:lang w:val="en-US" w:eastAsia="zh-CN"/>
              </w:rPr>
              <w:t>002包</w:t>
            </w:r>
            <w:r>
              <w:rPr>
                <w:rFonts w:hint="eastAsia" w:ascii="仿宋_GB2312" w:hAnsi="仿宋" w:eastAsia="仿宋_GB2312" w:cs="仿宋_GB2312"/>
                <w:color w:val="FF0000"/>
                <w:kern w:val="0"/>
                <w:sz w:val="24"/>
              </w:rPr>
              <w:t>截止时间</w:t>
            </w:r>
            <w:r>
              <w:rPr>
                <w:rFonts w:hint="eastAsia" w:ascii="仿宋_GB2312" w:hAnsi="仿宋" w:eastAsia="仿宋_GB2312" w:cs="仿宋_GB2312"/>
                <w:color w:val="FF0000"/>
                <w:kern w:val="0"/>
                <w:sz w:val="24"/>
                <w:lang w:val="en-US" w:eastAsia="zh-CN"/>
              </w:rPr>
              <w:t>：2023年06月12日09时30分</w:t>
            </w:r>
            <w:r>
              <w:rPr>
                <w:rFonts w:hint="eastAsia" w:ascii="仿宋_GB2312" w:hAnsi="仿宋" w:eastAsia="仿宋_GB2312" w:cs="仿宋_GB2312"/>
                <w:color w:val="FF0000"/>
                <w:kern w:val="0"/>
                <w:sz w:val="24"/>
              </w:rPr>
              <w:t>（北京时间）</w:t>
            </w:r>
          </w:p>
          <w:p>
            <w:pPr>
              <w:widowControl/>
              <w:spacing w:line="360" w:lineRule="auto"/>
              <w:rPr>
                <w:rFonts w:hint="eastAsia" w:ascii="仿宋_GB2312" w:hAnsi="仿宋" w:eastAsia="仿宋_GB2312" w:cs="仿宋_GB2312"/>
                <w:color w:val="FF0000"/>
                <w:kern w:val="0"/>
                <w:sz w:val="24"/>
              </w:rPr>
            </w:pPr>
            <w:r>
              <w:rPr>
                <w:rFonts w:hint="eastAsia" w:ascii="仿宋_GB2312" w:hAnsi="仿宋" w:eastAsia="仿宋_GB2312" w:cs="仿宋_GB2312"/>
                <w:color w:val="FF0000"/>
                <w:kern w:val="0"/>
                <w:sz w:val="24"/>
                <w:lang w:val="en-US" w:eastAsia="zh-CN"/>
              </w:rPr>
              <w:t>003包</w:t>
            </w:r>
            <w:r>
              <w:rPr>
                <w:rFonts w:hint="eastAsia" w:ascii="仿宋_GB2312" w:hAnsi="仿宋" w:eastAsia="仿宋_GB2312" w:cs="仿宋_GB2312"/>
                <w:color w:val="FF0000"/>
                <w:kern w:val="0"/>
                <w:sz w:val="24"/>
              </w:rPr>
              <w:t>截止时间</w:t>
            </w:r>
            <w:r>
              <w:rPr>
                <w:rFonts w:hint="eastAsia" w:ascii="仿宋_GB2312" w:hAnsi="仿宋" w:eastAsia="仿宋_GB2312" w:cs="仿宋_GB2312"/>
                <w:color w:val="FF0000"/>
                <w:kern w:val="0"/>
                <w:sz w:val="24"/>
                <w:lang w:val="en-US" w:eastAsia="zh-CN"/>
              </w:rPr>
              <w:t>：2023年06月13日09时30分</w:t>
            </w:r>
            <w:r>
              <w:rPr>
                <w:rFonts w:hint="eastAsia" w:ascii="仿宋_GB2312" w:hAnsi="仿宋" w:eastAsia="仿宋_GB2312" w:cs="仿宋_GB2312"/>
                <w:color w:val="FF0000"/>
                <w:kern w:val="0"/>
                <w:sz w:val="24"/>
              </w:rPr>
              <w:t>（北京时间）</w:t>
            </w:r>
          </w:p>
          <w:p>
            <w:pPr>
              <w:widowControl/>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地点：辽宁政府采购网</w:t>
            </w:r>
          </w:p>
          <w:p>
            <w:pPr>
              <w:adjustRightInd w:val="0"/>
              <w:snapToGrid w:val="0"/>
              <w:spacing w:line="420" w:lineRule="exact"/>
              <w:rPr>
                <w:rFonts w:ascii="仿宋_GB2312" w:hAnsi="仿宋" w:eastAsia="仿宋_GB2312" w:cs="仿宋_GB2312"/>
                <w:color w:val="000000" w:themeColor="text1"/>
                <w:kern w:val="0"/>
                <w:sz w:val="24"/>
                <w:u w:val="single"/>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方式：电子投标文件上传至辽宁政府采购网，以U盘形式存储的加密备份文件现场递交至</w:t>
            </w:r>
            <w:r>
              <w:rPr>
                <w:rFonts w:hint="eastAsia" w:ascii="仿宋_GB2312" w:hAnsi="仿宋" w:eastAsia="仿宋_GB2312" w:cs="仿宋_GB2312"/>
                <w:color w:val="000000" w:themeColor="text1"/>
                <w:sz w:val="24"/>
                <w14:textFill>
                  <w14:solidFill>
                    <w14:schemeClr w14:val="tx1"/>
                  </w14:solidFill>
                </w14:textFill>
              </w:rPr>
              <w:t>辽宁省沈抚公共资源交易服务有限公司（沈阳市皇姑区北陵大街34-3号楼1510室）。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20.1</w:t>
            </w:r>
          </w:p>
        </w:tc>
        <w:tc>
          <w:tcPr>
            <w:tcW w:w="1899" w:type="dxa"/>
            <w:vAlign w:val="center"/>
          </w:tcPr>
          <w:p>
            <w:pPr>
              <w:widowControl/>
              <w:spacing w:line="360" w:lineRule="auto"/>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开标时间、地点</w:t>
            </w:r>
          </w:p>
        </w:tc>
        <w:tc>
          <w:tcPr>
            <w:tcW w:w="6100" w:type="dxa"/>
            <w:vAlign w:val="center"/>
          </w:tcPr>
          <w:p>
            <w:pPr>
              <w:widowControl/>
              <w:spacing w:line="360" w:lineRule="auto"/>
              <w:rPr>
                <w:rFonts w:hint="eastAsia" w:ascii="仿宋_GB2312" w:hAnsi="仿宋" w:eastAsia="仿宋_GB2312" w:cs="仿宋_GB2312"/>
                <w:color w:val="FF0000"/>
                <w:kern w:val="0"/>
                <w:sz w:val="24"/>
              </w:rPr>
            </w:pPr>
            <w:r>
              <w:rPr>
                <w:rFonts w:hint="eastAsia" w:ascii="仿宋_GB2312" w:hAnsi="仿宋" w:eastAsia="仿宋_GB2312" w:cs="仿宋_GB2312"/>
                <w:color w:val="FF0000"/>
                <w:kern w:val="0"/>
                <w:sz w:val="24"/>
              </w:rPr>
              <w:t>时间：</w:t>
            </w:r>
            <w:r>
              <w:rPr>
                <w:rFonts w:hint="eastAsia" w:ascii="仿宋_GB2312" w:hAnsi="仿宋" w:eastAsia="仿宋_GB2312" w:cs="仿宋_GB2312"/>
                <w:color w:val="FF0000"/>
                <w:kern w:val="0"/>
                <w:sz w:val="24"/>
                <w:lang w:val="en-US" w:eastAsia="zh-CN"/>
              </w:rPr>
              <w:t>001包、004包：2023年06月09日09时30分</w:t>
            </w:r>
            <w:r>
              <w:rPr>
                <w:rFonts w:hint="eastAsia" w:ascii="仿宋_GB2312" w:hAnsi="仿宋" w:eastAsia="仿宋_GB2312" w:cs="仿宋_GB2312"/>
                <w:color w:val="FF0000"/>
                <w:kern w:val="0"/>
                <w:sz w:val="24"/>
              </w:rPr>
              <w:t>（北京时间）</w:t>
            </w:r>
          </w:p>
          <w:p>
            <w:pPr>
              <w:widowControl/>
              <w:spacing w:line="360" w:lineRule="auto"/>
              <w:rPr>
                <w:rFonts w:hint="eastAsia" w:ascii="仿宋_GB2312" w:hAnsi="仿宋" w:eastAsia="仿宋_GB2312" w:cs="仿宋_GB2312"/>
                <w:color w:val="FF0000"/>
                <w:kern w:val="0"/>
                <w:sz w:val="24"/>
              </w:rPr>
            </w:pPr>
            <w:r>
              <w:rPr>
                <w:rFonts w:hint="eastAsia" w:ascii="仿宋_GB2312" w:hAnsi="仿宋" w:eastAsia="仿宋_GB2312" w:cs="仿宋_GB2312"/>
                <w:color w:val="FF0000"/>
                <w:kern w:val="0"/>
                <w:sz w:val="24"/>
                <w:lang w:val="en-US" w:eastAsia="zh-CN"/>
              </w:rPr>
              <w:t>002包：2023年06月12日09时30分</w:t>
            </w:r>
            <w:r>
              <w:rPr>
                <w:rFonts w:hint="eastAsia" w:ascii="仿宋_GB2312" w:hAnsi="仿宋" w:eastAsia="仿宋_GB2312" w:cs="仿宋_GB2312"/>
                <w:color w:val="FF0000"/>
                <w:kern w:val="0"/>
                <w:sz w:val="24"/>
              </w:rPr>
              <w:t>（北京时间）</w:t>
            </w:r>
          </w:p>
          <w:p>
            <w:pPr>
              <w:widowControl/>
              <w:spacing w:line="360" w:lineRule="auto"/>
              <w:rPr>
                <w:rFonts w:hint="eastAsia" w:ascii="仿宋_GB2312" w:hAnsi="仿宋" w:eastAsia="仿宋_GB2312" w:cs="仿宋_GB2312"/>
                <w:color w:val="FF0000"/>
                <w:kern w:val="0"/>
                <w:sz w:val="24"/>
              </w:rPr>
            </w:pPr>
            <w:r>
              <w:rPr>
                <w:rFonts w:hint="eastAsia" w:ascii="仿宋_GB2312" w:hAnsi="仿宋" w:eastAsia="仿宋_GB2312" w:cs="仿宋_GB2312"/>
                <w:color w:val="FF0000"/>
                <w:kern w:val="0"/>
                <w:sz w:val="24"/>
                <w:lang w:val="en-US" w:eastAsia="zh-CN"/>
              </w:rPr>
              <w:t>003包：2023年06月13日09时30分</w:t>
            </w:r>
            <w:r>
              <w:rPr>
                <w:rFonts w:hint="eastAsia" w:ascii="仿宋_GB2312" w:hAnsi="仿宋" w:eastAsia="仿宋_GB2312" w:cs="仿宋_GB2312"/>
                <w:color w:val="FF0000"/>
                <w:kern w:val="0"/>
                <w:sz w:val="24"/>
              </w:rPr>
              <w:t>（北京时间）</w:t>
            </w:r>
          </w:p>
          <w:p>
            <w:pPr>
              <w:widowControl/>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地点：</w:t>
            </w:r>
            <w:r>
              <w:rPr>
                <w:rFonts w:hint="eastAsia" w:ascii="仿宋_GB2312" w:hAnsi="仿宋" w:eastAsia="仿宋_GB2312" w:cs="仿宋_GB2312"/>
                <w:color w:val="000000" w:themeColor="text1"/>
                <w:sz w:val="24"/>
                <w14:textFill>
                  <w14:solidFill>
                    <w14:schemeClr w14:val="tx1"/>
                  </w14:solidFill>
                </w14:textFill>
              </w:rPr>
              <w:t>辽宁省沈抚公共资源交易服务有限公司（沈阳市皇姑区北陵大街34-3号楼1510室）。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21</w:t>
            </w:r>
          </w:p>
        </w:tc>
        <w:tc>
          <w:tcPr>
            <w:tcW w:w="1899" w:type="dxa"/>
            <w:vAlign w:val="center"/>
          </w:tcPr>
          <w:p>
            <w:pPr>
              <w:widowControl/>
              <w:spacing w:line="360" w:lineRule="auto"/>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评标委员会</w:t>
            </w:r>
          </w:p>
          <w:p>
            <w:pPr>
              <w:widowControl/>
              <w:spacing w:line="360" w:lineRule="auto"/>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组成</w:t>
            </w:r>
          </w:p>
        </w:tc>
        <w:tc>
          <w:tcPr>
            <w:tcW w:w="6100" w:type="dxa"/>
            <w:vAlign w:val="center"/>
          </w:tcPr>
          <w:p>
            <w:pPr>
              <w:widowControl/>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评标委员会由</w:t>
            </w:r>
            <w:r>
              <w:rPr>
                <w:rFonts w:ascii="仿宋_GB2312" w:hAnsi="仿宋" w:eastAsia="仿宋_GB2312" w:cs="仿宋_GB2312"/>
                <w:color w:val="000000" w:themeColor="text1"/>
                <w:sz w:val="24"/>
                <w14:textFill>
                  <w14:solidFill>
                    <w14:schemeClr w14:val="tx1"/>
                  </w14:solidFill>
                </w14:textFill>
              </w:rPr>
              <w:t>7</w:t>
            </w:r>
            <w:r>
              <w:rPr>
                <w:rFonts w:hint="eastAsia" w:ascii="仿宋_GB2312" w:hAnsi="仿宋" w:eastAsia="仿宋_GB2312" w:cs="仿宋_GB2312"/>
                <w:color w:val="000000" w:themeColor="text1"/>
                <w:sz w:val="24"/>
                <w14:textFill>
                  <w14:solidFill>
                    <w14:schemeClr w14:val="tx1"/>
                  </w14:solidFill>
                </w14:textFill>
              </w:rPr>
              <w:t>人组成，其中：采购人代表</w:t>
            </w:r>
            <w:r>
              <w:rPr>
                <w:rFonts w:ascii="仿宋_GB2312" w:hAnsi="仿宋" w:eastAsia="仿宋_GB2312" w:cs="仿宋_GB2312"/>
                <w:color w:val="000000" w:themeColor="text1"/>
                <w:sz w:val="24"/>
                <w14:textFill>
                  <w14:solidFill>
                    <w14:schemeClr w14:val="tx1"/>
                  </w14:solidFill>
                </w14:textFill>
              </w:rPr>
              <w:t>2</w:t>
            </w:r>
            <w:r>
              <w:rPr>
                <w:rFonts w:hint="eastAsia" w:ascii="仿宋_GB2312" w:hAnsi="仿宋" w:eastAsia="仿宋_GB2312" w:cs="仿宋_GB2312"/>
                <w:color w:val="000000" w:themeColor="text1"/>
                <w:sz w:val="24"/>
                <w14:textFill>
                  <w14:solidFill>
                    <w14:schemeClr w14:val="tx1"/>
                  </w14:solidFill>
                </w14:textFill>
              </w:rPr>
              <w:t>人；经济、技术评委</w:t>
            </w:r>
            <w:r>
              <w:rPr>
                <w:rFonts w:ascii="仿宋_GB2312" w:hAnsi="仿宋" w:eastAsia="仿宋_GB2312" w:cs="仿宋_GB2312"/>
                <w:color w:val="000000" w:themeColor="text1"/>
                <w:sz w:val="24"/>
                <w14:textFill>
                  <w14:solidFill>
                    <w14:schemeClr w14:val="tx1"/>
                  </w14:solidFill>
                </w14:textFill>
              </w:rPr>
              <w:t>5</w:t>
            </w:r>
            <w:r>
              <w:rPr>
                <w:rFonts w:hint="eastAsia" w:ascii="仿宋_GB2312" w:hAnsi="仿宋" w:eastAsia="仿宋_GB2312" w:cs="仿宋_GB2312"/>
                <w:color w:val="000000" w:themeColor="text1"/>
                <w:sz w:val="24"/>
                <w14:textFill>
                  <w14:solidFill>
                    <w14:schemeClr w14:val="tx1"/>
                  </w14:solidFill>
                </w14:textFill>
              </w:rPr>
              <w:t>人，从辽宁省政府采购评审专家库抽取。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25.1</w:t>
            </w:r>
          </w:p>
        </w:tc>
        <w:tc>
          <w:tcPr>
            <w:tcW w:w="1899" w:type="dxa"/>
            <w:vAlign w:val="center"/>
          </w:tcPr>
          <w:p>
            <w:pPr>
              <w:widowControl/>
              <w:spacing w:line="360" w:lineRule="auto"/>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样品的评审方法以及评审标准</w:t>
            </w:r>
          </w:p>
          <w:p>
            <w:pPr>
              <w:widowControl/>
              <w:spacing w:line="360" w:lineRule="auto"/>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演示的评审方法及评审标准</w:t>
            </w:r>
          </w:p>
        </w:tc>
        <w:tc>
          <w:tcPr>
            <w:tcW w:w="6100" w:type="dxa"/>
            <w:vAlign w:val="center"/>
          </w:tcPr>
          <w:p>
            <w:pPr>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sym w:font="Wingdings 2" w:char="00A3"/>
            </w:r>
            <w:r>
              <w:rPr>
                <w:rFonts w:ascii="仿宋_GB2312" w:hAnsi="仿宋" w:eastAsia="仿宋_GB2312" w:cs="仿宋_GB2312"/>
                <w:color w:val="000000" w:themeColor="text1"/>
                <w:kern w:val="0"/>
                <w:sz w:val="24"/>
                <w14:textFill>
                  <w14:solidFill>
                    <w14:schemeClr w14:val="tx1"/>
                  </w14:solidFill>
                </w14:textFill>
              </w:rPr>
              <w:t xml:space="preserve"> </w:t>
            </w:r>
            <w:r>
              <w:rPr>
                <w:rFonts w:hint="eastAsia" w:ascii="仿宋_GB2312" w:hAnsi="仿宋" w:eastAsia="仿宋_GB2312" w:cs="仿宋_GB2312"/>
                <w:bCs/>
                <w:color w:val="000000" w:themeColor="text1"/>
                <w:kern w:val="0"/>
                <w:sz w:val="24"/>
                <w14:textFill>
                  <w14:solidFill>
                    <w14:schemeClr w14:val="tx1"/>
                  </w14:solidFill>
                </w14:textFill>
              </w:rPr>
              <w:t>样品</w:t>
            </w:r>
            <w:r>
              <w:rPr>
                <w:rFonts w:hint="eastAsia" w:ascii="仿宋_GB2312" w:hAnsi="仿宋" w:eastAsia="仿宋_GB2312" w:cs="仿宋_GB2312"/>
                <w:b/>
                <w:bCs/>
                <w:color w:val="000000" w:themeColor="text1"/>
                <w:kern w:val="0"/>
                <w:sz w:val="24"/>
                <w14:textFill>
                  <w14:solidFill>
                    <w14:schemeClr w14:val="tx1"/>
                  </w14:solidFill>
                </w14:textFill>
              </w:rPr>
              <w:t>（以下不适用）</w:t>
            </w:r>
            <w:r>
              <w:rPr>
                <w:rFonts w:hint="eastAsia" w:ascii="仿宋_GB2312" w:hAnsi="仿宋" w:eastAsia="仿宋_GB2312" w:cs="仿宋_GB2312"/>
                <w:bCs/>
                <w:color w:val="000000" w:themeColor="text1"/>
                <w:kern w:val="0"/>
                <w:sz w:val="24"/>
                <w14:textFill>
                  <w14:solidFill>
                    <w14:schemeClr w14:val="tx1"/>
                  </w14:solidFill>
                </w14:textFill>
              </w:rPr>
              <w:t>：</w:t>
            </w:r>
          </w:p>
          <w:p>
            <w:pPr>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1.样品评审方法：</w:t>
            </w:r>
            <w:r>
              <w:rPr>
                <w:rFonts w:hint="eastAsia" w:ascii="仿宋_GB2312" w:hAnsi="仿宋" w:eastAsia="仿宋_GB2312" w:cs="仿宋_GB2312"/>
                <w:color w:val="000000" w:themeColor="text1"/>
                <w:kern w:val="0"/>
                <w:sz w:val="24"/>
                <w:u w:val="single"/>
                <w14:textFill>
                  <w14:solidFill>
                    <w14:schemeClr w14:val="tx1"/>
                  </w14:solidFill>
                </w14:textFill>
              </w:rPr>
              <w:t xml:space="preserve">              </w:t>
            </w:r>
          </w:p>
          <w:p>
            <w:pPr>
              <w:spacing w:line="360" w:lineRule="auto"/>
              <w:rPr>
                <w:rFonts w:ascii="仿宋_GB2312" w:hAnsi="仿宋" w:eastAsia="仿宋_GB2312" w:cs="仿宋_GB2312"/>
                <w:color w:val="000000" w:themeColor="text1"/>
                <w:kern w:val="0"/>
                <w:sz w:val="24"/>
                <w:u w:val="single"/>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2.样品评审标准：</w:t>
            </w:r>
            <w:r>
              <w:rPr>
                <w:rFonts w:hint="eastAsia" w:ascii="仿宋_GB2312" w:hAnsi="仿宋" w:eastAsia="仿宋_GB2312" w:cs="仿宋_GB2312"/>
                <w:color w:val="000000" w:themeColor="text1"/>
                <w:kern w:val="0"/>
                <w:sz w:val="24"/>
                <w:u w:val="single"/>
                <w14:textFill>
                  <w14:solidFill>
                    <w14:schemeClr w14:val="tx1"/>
                  </w14:solidFill>
                </w14:textFill>
              </w:rPr>
              <w:t xml:space="preserve">              </w:t>
            </w:r>
          </w:p>
          <w:p>
            <w:pPr>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sym w:font="Wingdings 2" w:char="0052"/>
            </w:r>
            <w:r>
              <w:rPr>
                <w:rFonts w:ascii="仿宋_GB2312" w:hAnsi="仿宋" w:eastAsia="仿宋_GB2312" w:cs="仿宋_GB2312"/>
                <w:color w:val="000000" w:themeColor="text1"/>
                <w:kern w:val="0"/>
                <w:sz w:val="24"/>
                <w14:textFill>
                  <w14:solidFill>
                    <w14:schemeClr w14:val="tx1"/>
                  </w14:solidFill>
                </w14:textFill>
              </w:rPr>
              <w:t xml:space="preserve"> </w:t>
            </w:r>
            <w:r>
              <w:rPr>
                <w:rFonts w:hint="eastAsia" w:ascii="仿宋_GB2312" w:hAnsi="仿宋" w:eastAsia="仿宋_GB2312" w:cs="仿宋_GB2312"/>
                <w:color w:val="000000" w:themeColor="text1"/>
                <w:kern w:val="0"/>
                <w:sz w:val="24"/>
                <w14:textFill>
                  <w14:solidFill>
                    <w14:schemeClr w14:val="tx1"/>
                  </w14:solidFill>
                </w14:textFill>
              </w:rPr>
              <w:t>演示：</w:t>
            </w:r>
          </w:p>
          <w:p>
            <w:pPr>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1.演示评审方法：详见《评分细则》。</w:t>
            </w:r>
          </w:p>
          <w:p>
            <w:pPr>
              <w:spacing w:line="360" w:lineRule="auto"/>
              <w:rPr>
                <w:rFonts w:ascii="仿宋_GB2312" w:hAnsi="仿宋" w:eastAsia="仿宋_GB2312" w:cs="仿宋_GB2312"/>
                <w:color w:val="000000" w:themeColor="text1"/>
                <w:kern w:val="0"/>
                <w:sz w:val="24"/>
                <w:u w:val="single"/>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2.演示评审标准：详见《评分细则》。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27.2</w:t>
            </w:r>
          </w:p>
        </w:tc>
        <w:tc>
          <w:tcPr>
            <w:tcW w:w="1899" w:type="dxa"/>
            <w:vAlign w:val="center"/>
          </w:tcPr>
          <w:p>
            <w:pPr>
              <w:widowControl/>
              <w:spacing w:line="360" w:lineRule="auto"/>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评标方法</w:t>
            </w:r>
          </w:p>
        </w:tc>
        <w:tc>
          <w:tcPr>
            <w:tcW w:w="6100" w:type="dxa"/>
            <w:vAlign w:val="center"/>
          </w:tcPr>
          <w:p>
            <w:pPr>
              <w:widowControl/>
              <w:spacing w:line="36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sym w:font="Wingdings 2" w:char="0052"/>
            </w:r>
            <w:r>
              <w:rPr>
                <w:rFonts w:hint="eastAsia" w:ascii="仿宋_GB2312" w:hAnsi="仿宋" w:eastAsia="仿宋_GB2312" w:cs="仿宋_GB2312"/>
                <w:color w:val="000000" w:themeColor="text1"/>
                <w:kern w:val="0"/>
                <w:sz w:val="24"/>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 xml:space="preserve">综合评分法 </w:t>
            </w:r>
            <w:r>
              <w:rPr>
                <w:rFonts w:ascii="仿宋_GB2312" w:hAnsi="仿宋" w:eastAsia="仿宋_GB2312" w:cs="仿宋_GB2312"/>
                <w:color w:val="000000" w:themeColor="text1"/>
                <w:sz w:val="24"/>
                <w14:textFill>
                  <w14:solidFill>
                    <w14:schemeClr w14:val="tx1"/>
                  </w14:solidFill>
                </w14:textFill>
              </w:rPr>
              <w:t xml:space="preserve">    </w:t>
            </w:r>
          </w:p>
          <w:p>
            <w:pPr>
              <w:widowControl/>
              <w:spacing w:line="36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sym w:font="Wingdings 2" w:char="00A3"/>
            </w:r>
            <w:r>
              <w:rPr>
                <w:rFonts w:ascii="仿宋_GB2312" w:hAnsi="仿宋" w:eastAsia="仿宋_GB2312" w:cs="仿宋_GB2312"/>
                <w:color w:val="000000" w:themeColor="text1"/>
                <w:sz w:val="24"/>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 xml:space="preserve">最低评标价法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29.2</w:t>
            </w:r>
          </w:p>
        </w:tc>
        <w:tc>
          <w:tcPr>
            <w:tcW w:w="1899"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推荐中标候选人的数量</w:t>
            </w:r>
          </w:p>
        </w:tc>
        <w:tc>
          <w:tcPr>
            <w:tcW w:w="6100" w:type="dxa"/>
            <w:vAlign w:val="center"/>
          </w:tcPr>
          <w:p>
            <w:pPr>
              <w:widowControl/>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3名/包。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31</w:t>
            </w:r>
          </w:p>
        </w:tc>
        <w:tc>
          <w:tcPr>
            <w:tcW w:w="1899"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确定中标人的</w:t>
            </w:r>
          </w:p>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方式</w:t>
            </w:r>
          </w:p>
        </w:tc>
        <w:tc>
          <w:tcPr>
            <w:tcW w:w="6100" w:type="dxa"/>
            <w:vAlign w:val="center"/>
          </w:tcPr>
          <w:p>
            <w:pPr>
              <w:widowControl/>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中标人数量：1名/包。</w:t>
            </w:r>
          </w:p>
          <w:p>
            <w:pPr>
              <w:widowControl/>
              <w:spacing w:line="360" w:lineRule="auto"/>
              <w:rPr>
                <w:rFonts w:ascii="仿宋_GB2312" w:hAnsi="仿宋" w:eastAsia="仿宋_GB2312" w:cs="仿宋_GB2312"/>
                <w:color w:val="000000" w:themeColor="text1"/>
                <w:kern w:val="0"/>
                <w:sz w:val="24"/>
                <w:u w:val="single"/>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sym w:font="Wingdings 2" w:char="0052"/>
            </w:r>
            <w:r>
              <w:rPr>
                <w:rFonts w:ascii="仿宋_GB2312" w:hAnsi="仿宋" w:eastAsia="仿宋_GB2312" w:cs="仿宋_GB2312"/>
                <w:color w:val="000000" w:themeColor="text1"/>
                <w:kern w:val="0"/>
                <w:sz w:val="24"/>
                <w14:textFill>
                  <w14:solidFill>
                    <w14:schemeClr w14:val="tx1"/>
                  </w14:solidFill>
                </w14:textFill>
              </w:rPr>
              <w:t xml:space="preserve"> </w:t>
            </w:r>
            <w:r>
              <w:rPr>
                <w:rFonts w:hint="eastAsia" w:ascii="仿宋_GB2312" w:hAnsi="仿宋" w:eastAsia="仿宋_GB2312" w:cs="仿宋_GB2312"/>
                <w:color w:val="000000" w:themeColor="text1"/>
                <w:kern w:val="0"/>
                <w:sz w:val="24"/>
                <w14:textFill>
                  <w14:solidFill>
                    <w14:schemeClr w14:val="tx1"/>
                  </w14:solidFill>
                </w14:textFill>
              </w:rPr>
              <w:t>采购人委托评标委员会直接确定中标人</w:t>
            </w:r>
          </w:p>
          <w:p>
            <w:pPr>
              <w:widowControl/>
              <w:spacing w:line="360" w:lineRule="auto"/>
              <w:rPr>
                <w:rFonts w:ascii="仿宋_GB2312" w:hAnsi="仿宋" w:eastAsia="仿宋_GB2312" w:cs="仿宋_GB2312"/>
                <w:color w:val="000000" w:themeColor="text1"/>
                <w:kern w:val="0"/>
                <w:sz w:val="24"/>
                <w:u w:val="single"/>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sym w:font="Wingdings 2" w:char="00A3"/>
            </w:r>
            <w:r>
              <w:rPr>
                <w:rFonts w:ascii="仿宋_GB2312" w:hAnsi="仿宋" w:eastAsia="仿宋_GB2312" w:cs="仿宋_GB2312"/>
                <w:color w:val="000000" w:themeColor="text1"/>
                <w:kern w:val="0"/>
                <w:sz w:val="24"/>
                <w14:textFill>
                  <w14:solidFill>
                    <w14:schemeClr w14:val="tx1"/>
                  </w14:solidFill>
                </w14:textFill>
              </w:rPr>
              <w:t xml:space="preserve"> </w:t>
            </w:r>
            <w:r>
              <w:rPr>
                <w:rFonts w:hint="eastAsia" w:ascii="仿宋_GB2312" w:hAnsi="仿宋" w:eastAsia="仿宋_GB2312" w:cs="仿宋_GB2312"/>
                <w:color w:val="000000" w:themeColor="text1"/>
                <w:kern w:val="0"/>
                <w:sz w:val="24"/>
                <w14:textFill>
                  <w14:solidFill>
                    <w14:schemeClr w14:val="tx1"/>
                  </w14:solidFill>
                </w14:textFill>
              </w:rPr>
              <w:t>采购人确定中标人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35.1</w:t>
            </w:r>
          </w:p>
        </w:tc>
        <w:tc>
          <w:tcPr>
            <w:tcW w:w="1899"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履约保证金</w:t>
            </w:r>
          </w:p>
        </w:tc>
        <w:tc>
          <w:tcPr>
            <w:tcW w:w="6100" w:type="dxa"/>
            <w:vAlign w:val="center"/>
          </w:tcPr>
          <w:p>
            <w:pPr>
              <w:widowControl/>
              <w:spacing w:line="36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sym w:font="Wingdings 2" w:char="0052"/>
            </w:r>
            <w:r>
              <w:rPr>
                <w:rFonts w:hint="eastAsia" w:ascii="仿宋_GB2312" w:hAnsi="仿宋" w:eastAsia="仿宋_GB2312" w:cs="仿宋_GB2312"/>
                <w:color w:val="000000" w:themeColor="text1"/>
                <w:sz w:val="24"/>
                <w14:textFill>
                  <w14:solidFill>
                    <w14:schemeClr w14:val="tx1"/>
                  </w14:solidFill>
                </w14:textFill>
              </w:rPr>
              <w:t xml:space="preserve"> 不收取履约保证金</w:t>
            </w:r>
          </w:p>
          <w:p>
            <w:pPr>
              <w:widowControl/>
              <w:spacing w:line="36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37" w:type="dxa"/>
            <w:vMerge w:val="restart"/>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36</w:t>
            </w:r>
          </w:p>
        </w:tc>
        <w:tc>
          <w:tcPr>
            <w:tcW w:w="1899" w:type="dxa"/>
            <w:vMerge w:val="restart"/>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采购形式及代理服务费</w:t>
            </w:r>
          </w:p>
        </w:tc>
        <w:tc>
          <w:tcPr>
            <w:tcW w:w="6100" w:type="dxa"/>
            <w:vAlign w:val="center"/>
          </w:tcPr>
          <w:p>
            <w:pPr>
              <w:widowControl/>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sym w:font="Wingdings 2" w:char="00A3"/>
            </w:r>
            <w:r>
              <w:rPr>
                <w:rFonts w:hint="eastAsia" w:ascii="仿宋_GB2312" w:hAnsi="仿宋" w:eastAsia="仿宋_GB2312" w:cs="仿宋_GB2312"/>
                <w:color w:val="000000" w:themeColor="text1"/>
                <w:kern w:val="0"/>
                <w:sz w:val="24"/>
                <w14:textFill>
                  <w14:solidFill>
                    <w14:schemeClr w14:val="tx1"/>
                  </w14:solidFill>
                </w14:textFill>
              </w:rPr>
              <w:t xml:space="preserve"> 集中采购</w:t>
            </w:r>
            <w:r>
              <w:rPr>
                <w:rFonts w:ascii="仿宋_GB2312" w:hAnsi="仿宋" w:eastAsia="仿宋_GB2312" w:cs="仿宋_GB2312"/>
                <w:color w:val="000000" w:themeColor="text1"/>
                <w:kern w:val="0"/>
                <w:sz w:val="24"/>
                <w14:textFill>
                  <w14:solidFill>
                    <w14:schemeClr w14:val="tx1"/>
                  </w14:solidFill>
                </w14:textFill>
              </w:rPr>
              <w:t xml:space="preserve">  </w:t>
            </w:r>
          </w:p>
          <w:p>
            <w:pPr>
              <w:pStyle w:val="49"/>
              <w:widowControl/>
              <w:spacing w:line="360" w:lineRule="auto"/>
              <w:ind w:firstLine="0" w:firstLineChars="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sym w:font="Wingdings 2" w:char="0052"/>
            </w:r>
            <w:r>
              <w:rPr>
                <w:rFonts w:hint="eastAsia" w:ascii="仿宋_GB2312" w:hAnsi="仿宋" w:eastAsia="仿宋_GB2312" w:cs="仿宋_GB2312"/>
                <w:color w:val="000000" w:themeColor="text1"/>
                <w:sz w:val="24"/>
                <w14:textFill>
                  <w14:solidFill>
                    <w14:schemeClr w14:val="tx1"/>
                  </w14:solidFill>
                </w14:textFill>
              </w:rPr>
              <w:t xml:space="preserve"> </w:t>
            </w:r>
            <w:r>
              <w:rPr>
                <w:rFonts w:hint="eastAsia" w:ascii="仿宋_GB2312" w:hAnsi="仿宋" w:eastAsia="仿宋_GB2312" w:cs="仿宋_GB2312"/>
                <w:color w:val="000000" w:themeColor="text1"/>
                <w:kern w:val="0"/>
                <w:sz w:val="24"/>
                <w14:textFill>
                  <w14:solidFill>
                    <w14:schemeClr w14:val="tx1"/>
                  </w14:solidFill>
                </w14:textFill>
              </w:rPr>
              <w:t>分散采购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37" w:type="dxa"/>
            <w:vMerge w:val="continue"/>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p>
        </w:tc>
        <w:tc>
          <w:tcPr>
            <w:tcW w:w="1899" w:type="dxa"/>
            <w:vMerge w:val="continue"/>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p>
        </w:tc>
        <w:tc>
          <w:tcPr>
            <w:tcW w:w="6100" w:type="dxa"/>
            <w:vAlign w:val="center"/>
          </w:tcPr>
          <w:p>
            <w:pPr>
              <w:widowControl/>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sym w:font="Wingdings 2" w:char="00A3"/>
            </w:r>
            <w:r>
              <w:rPr>
                <w:rFonts w:hint="eastAsia" w:ascii="仿宋_GB2312" w:hAnsi="仿宋" w:eastAsia="仿宋_GB2312" w:cs="仿宋_GB2312"/>
                <w:color w:val="000000" w:themeColor="text1"/>
                <w:kern w:val="0"/>
                <w:sz w:val="24"/>
                <w14:textFill>
                  <w14:solidFill>
                    <w14:schemeClr w14:val="tx1"/>
                  </w14:solidFill>
                </w14:textFill>
              </w:rPr>
              <w:t xml:space="preserve"> 不收取采购代理服务费</w:t>
            </w:r>
          </w:p>
          <w:p>
            <w:pPr>
              <w:widowControl/>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sym w:font="Wingdings 2" w:char="0052"/>
            </w:r>
            <w:r>
              <w:rPr>
                <w:rFonts w:ascii="仿宋_GB2312" w:hAnsi="仿宋" w:eastAsia="仿宋_GB2312" w:cs="仿宋_GB2312"/>
                <w:color w:val="000000" w:themeColor="text1"/>
                <w:kern w:val="0"/>
                <w:sz w:val="24"/>
                <w14:textFill>
                  <w14:solidFill>
                    <w14:schemeClr w14:val="tx1"/>
                  </w14:solidFill>
                </w14:textFill>
              </w:rPr>
              <w:t xml:space="preserve"> </w:t>
            </w:r>
            <w:r>
              <w:rPr>
                <w:rFonts w:hint="eastAsia" w:ascii="仿宋_GB2312" w:hAnsi="仿宋" w:eastAsia="仿宋_GB2312" w:cs="仿宋_GB2312"/>
                <w:color w:val="000000" w:themeColor="text1"/>
                <w:kern w:val="0"/>
                <w:sz w:val="24"/>
                <w14:textFill>
                  <w14:solidFill>
                    <w14:schemeClr w14:val="tx1"/>
                  </w14:solidFill>
                </w14:textFill>
              </w:rPr>
              <w:t>收取采购代理服务费</w:t>
            </w:r>
          </w:p>
          <w:p>
            <w:pPr>
              <w:widowControl/>
              <w:spacing w:line="360" w:lineRule="auto"/>
              <w:ind w:firstLine="240" w:firstLineChars="100"/>
              <w:rPr>
                <w:rFonts w:ascii="仿宋_GB2312" w:hAnsi="仿宋" w:eastAsia="仿宋_GB2312" w:cs="仿宋_GB2312"/>
                <w:color w:val="000000" w:themeColor="text1"/>
                <w:kern w:val="0"/>
                <w:sz w:val="24"/>
                <w:u w:val="single"/>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本项目采购代理服务费由中标人向采购组织机构支付。</w:t>
            </w:r>
          </w:p>
          <w:p>
            <w:pPr>
              <w:widowControl/>
              <w:spacing w:line="360" w:lineRule="auto"/>
              <w:ind w:firstLine="240" w:firstLineChars="100"/>
              <w:rPr>
                <w:rFonts w:ascii="仿宋_GB2312" w:hAnsi="仿宋" w:eastAsia="仿宋_GB2312" w:cs="仿宋_GB2312"/>
                <w:b/>
                <w:color w:val="000000" w:themeColor="text1"/>
                <w:kern w:val="0"/>
                <w:sz w:val="24"/>
                <w14:textFill>
                  <w14:solidFill>
                    <w14:schemeClr w14:val="tx1"/>
                  </w14:solidFill>
                </w14:textFill>
              </w:rPr>
            </w:pPr>
            <w:r>
              <w:rPr>
                <w:rFonts w:hint="eastAsia" w:ascii="仿宋_GB2312" w:hAnsi="仿宋" w:eastAsia="仿宋_GB2312" w:cs="仿宋_GB2312"/>
                <w:b/>
                <w:color w:val="000000" w:themeColor="text1"/>
                <w:kern w:val="0"/>
                <w:sz w:val="24"/>
                <w14:textFill>
                  <w14:solidFill>
                    <w14:schemeClr w14:val="tx1"/>
                  </w14:solidFill>
                </w14:textFill>
              </w:rPr>
              <w:t>代理费缴纳专户：</w:t>
            </w:r>
          </w:p>
          <w:p>
            <w:pPr>
              <w:widowControl/>
              <w:spacing w:line="360" w:lineRule="auto"/>
              <w:ind w:firstLine="240" w:firstLine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开 户 名：</w:t>
            </w:r>
            <w:r>
              <w:rPr>
                <w:rFonts w:hint="eastAsia" w:ascii="仿宋_GB2312" w:hAnsi="仿宋" w:eastAsia="仿宋_GB2312" w:cs="仿宋_GB2312"/>
                <w:color w:val="000000" w:themeColor="text1"/>
                <w:kern w:val="0"/>
                <w:sz w:val="24"/>
                <w:u w:val="single"/>
                <w14:textFill>
                  <w14:solidFill>
                    <w14:schemeClr w14:val="tx1"/>
                  </w14:solidFill>
                </w14:textFill>
              </w:rPr>
              <w:t>辽宁省沈抚公共资源交易服务有限公司</w:t>
            </w:r>
          </w:p>
          <w:p>
            <w:pPr>
              <w:widowControl/>
              <w:spacing w:line="360" w:lineRule="auto"/>
              <w:ind w:firstLine="240" w:firstLine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开 户 行：</w:t>
            </w:r>
            <w:r>
              <w:rPr>
                <w:rFonts w:hint="eastAsia" w:ascii="仿宋_GB2312" w:hAnsi="仿宋" w:eastAsia="仿宋_GB2312" w:cs="仿宋_GB2312"/>
                <w:color w:val="000000" w:themeColor="text1"/>
                <w:kern w:val="0"/>
                <w:sz w:val="24"/>
                <w:u w:val="single"/>
                <w14:textFill>
                  <w14:solidFill>
                    <w14:schemeClr w14:val="tx1"/>
                  </w14:solidFill>
                </w14:textFill>
              </w:rPr>
              <w:t>盛京银行沈阳市泰山支行</w:t>
            </w:r>
          </w:p>
          <w:p>
            <w:pPr>
              <w:widowControl/>
              <w:spacing w:line="360" w:lineRule="auto"/>
              <w:ind w:firstLine="240" w:firstLine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账</w:t>
            </w:r>
            <w:r>
              <w:rPr>
                <w:rFonts w:hint="eastAsia" w:ascii="Calibri" w:hAnsi="Calibri" w:eastAsia="仿宋_GB2312" w:cs="Calibri"/>
                <w:color w:val="000000" w:themeColor="text1"/>
                <w:kern w:val="0"/>
                <w:sz w:val="24"/>
                <w14:textFill>
                  <w14:solidFill>
                    <w14:schemeClr w14:val="tx1"/>
                  </w14:solidFill>
                </w14:textFill>
              </w:rPr>
              <w:t xml:space="preserve"> </w:t>
            </w:r>
            <w:r>
              <w:rPr>
                <w:rFonts w:ascii="Calibri" w:hAnsi="Calibri" w:eastAsia="仿宋_GB2312" w:cs="Calibri"/>
                <w:color w:val="000000" w:themeColor="text1"/>
                <w:kern w:val="0"/>
                <w:sz w:val="24"/>
                <w14:textFill>
                  <w14:solidFill>
                    <w14:schemeClr w14:val="tx1"/>
                  </w14:solidFill>
                </w14:textFill>
              </w:rPr>
              <w:t xml:space="preserve">  </w:t>
            </w:r>
            <w:r>
              <w:rPr>
                <w:rFonts w:hint="eastAsia" w:ascii="仿宋_GB2312" w:hAnsi="仿宋" w:eastAsia="仿宋_GB2312" w:cs="仿宋_GB2312"/>
                <w:color w:val="000000" w:themeColor="text1"/>
                <w:kern w:val="0"/>
                <w:sz w:val="24"/>
                <w14:textFill>
                  <w14:solidFill>
                    <w14:schemeClr w14:val="tx1"/>
                  </w14:solidFill>
                </w14:textFill>
              </w:rPr>
              <w:t xml:space="preserve"> 号：</w:t>
            </w:r>
            <w:r>
              <w:rPr>
                <w:rFonts w:hint="eastAsia" w:ascii="仿宋_GB2312" w:hAnsi="仿宋" w:eastAsia="仿宋_GB2312" w:cs="仿宋_GB2312"/>
                <w:color w:val="000000" w:themeColor="text1"/>
                <w:kern w:val="0"/>
                <w:sz w:val="24"/>
                <w:u w:val="single"/>
                <w14:textFill>
                  <w14:solidFill>
                    <w14:schemeClr w14:val="tx1"/>
                  </w14:solidFill>
                </w14:textFill>
              </w:rPr>
              <w:t>0338210102000017115</w:t>
            </w:r>
          </w:p>
          <w:p>
            <w:pPr>
              <w:widowControl/>
              <w:spacing w:line="360" w:lineRule="auto"/>
              <w:ind w:firstLine="240" w:firstLine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支付标准：</w:t>
            </w:r>
            <w:r>
              <w:rPr>
                <w:rFonts w:hint="eastAsia" w:ascii="仿宋_GB2312" w:hAnsi="仿宋" w:eastAsia="仿宋_GB2312" w:cs="仿宋_GB2312"/>
                <w:color w:val="000000" w:themeColor="text1"/>
                <w:kern w:val="0"/>
                <w:sz w:val="24"/>
                <w:u w:val="single"/>
                <w14:textFill>
                  <w14:solidFill>
                    <w14:schemeClr w14:val="tx1"/>
                  </w14:solidFill>
                </w14:textFill>
              </w:rPr>
              <w:t>参照国家发改委“计价格[2002]1980 号”、“发改办价格[2003]857 号”和“发改价格[2011]534 号”文件规定标准向成交供应商收取采购代理服务费，代理费考虑并包含在报价中，但不需要单独列项。</w:t>
            </w:r>
          </w:p>
          <w:p>
            <w:pPr>
              <w:widowControl/>
              <w:spacing w:line="360" w:lineRule="auto"/>
              <w:ind w:firstLine="240" w:firstLine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支付形式：</w:t>
            </w:r>
            <w:r>
              <w:rPr>
                <w:rFonts w:hint="eastAsia" w:ascii="仿宋_GB2312" w:hAnsi="仿宋" w:eastAsia="仿宋_GB2312" w:cs="仿宋_GB2312"/>
                <w:color w:val="000000" w:themeColor="text1"/>
                <w:kern w:val="0"/>
                <w:sz w:val="24"/>
                <w:u w:val="single"/>
                <w14:textFill>
                  <w14:solidFill>
                    <w14:schemeClr w14:val="tx1"/>
                  </w14:solidFill>
                </w14:textFill>
              </w:rPr>
              <w:t>电汇。</w:t>
            </w:r>
          </w:p>
          <w:p>
            <w:pPr>
              <w:widowControl/>
              <w:spacing w:line="360" w:lineRule="auto"/>
              <w:ind w:firstLine="240" w:firstLine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支付时间：</w:t>
            </w:r>
            <w:r>
              <w:rPr>
                <w:rFonts w:hint="eastAsia" w:ascii="仿宋_GB2312" w:hAnsi="仿宋" w:eastAsia="仿宋_GB2312" w:cs="仿宋_GB2312"/>
                <w:color w:val="000000" w:themeColor="text1"/>
                <w:kern w:val="0"/>
                <w:sz w:val="24"/>
                <w:u w:val="single"/>
                <w14:textFill>
                  <w14:solidFill>
                    <w14:schemeClr w14:val="tx1"/>
                  </w14:solidFill>
                </w14:textFill>
              </w:rPr>
              <w:t>成交供应商成交后3日内一次性向采购组织机构付清。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39.3</w:t>
            </w:r>
          </w:p>
        </w:tc>
        <w:tc>
          <w:tcPr>
            <w:tcW w:w="1899"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质疑</w:t>
            </w:r>
          </w:p>
        </w:tc>
        <w:tc>
          <w:tcPr>
            <w:tcW w:w="6100" w:type="dxa"/>
            <w:vAlign w:val="center"/>
          </w:tcPr>
          <w:p>
            <w:pPr>
              <w:widowControl/>
              <w:spacing w:line="36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一、投标人认为自己的权益受到损害的，可以在知道或者应知其权益受到损害之日起七个工作日内，向采购组织机构提出质疑。</w:t>
            </w:r>
          </w:p>
          <w:p>
            <w:pPr>
              <w:widowControl/>
              <w:spacing w:line="360" w:lineRule="auto"/>
              <w:rPr>
                <w:rFonts w:ascii="仿宋_GB2312" w:hAnsi="仿宋" w:eastAsia="仿宋_GB2312" w:cs="仿宋_GB2312"/>
                <w:color w:val="000000" w:themeColor="text1"/>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接收线上质疑函的方式：电子版质疑函上传至辽宁政府采购网</w:t>
            </w:r>
          </w:p>
          <w:p>
            <w:pPr>
              <w:widowControl/>
              <w:spacing w:line="360" w:lineRule="auto"/>
              <w:rPr>
                <w:rFonts w:ascii="仿宋_GB2312" w:hAnsi="仿宋" w:eastAsia="仿宋_GB2312" w:cs="仿宋_GB2312"/>
                <w:color w:val="000000" w:themeColor="text1"/>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2</w:t>
            </w:r>
            <w:r>
              <w:rPr>
                <w:rFonts w:hint="eastAsia" w:ascii="仿宋_GB2312" w:hAnsi="仿宋" w:eastAsia="仿宋_GB2312" w:cs="仿宋_GB2312"/>
                <w:color w:val="000000" w:themeColor="text1"/>
                <w:sz w:val="24"/>
                <w14:textFill>
                  <w14:solidFill>
                    <w14:schemeClr w14:val="tx1"/>
                  </w14:solidFill>
                </w14:textFill>
              </w:rPr>
              <w:t>.接收书面</w:t>
            </w:r>
            <w:r>
              <w:rPr>
                <w:rFonts w:hint="eastAsia" w:ascii="仿宋_GB2312" w:hAnsi="仿宋" w:eastAsia="仿宋_GB2312" w:cs="宋体"/>
                <w:color w:val="000000" w:themeColor="text1"/>
                <w:sz w:val="24"/>
                <w14:textFill>
                  <w14:solidFill>
                    <w14:schemeClr w14:val="tx1"/>
                  </w14:solidFill>
                </w14:textFill>
              </w:rPr>
              <w:t>纸质</w:t>
            </w:r>
            <w:r>
              <w:rPr>
                <w:rFonts w:hint="eastAsia" w:ascii="仿宋_GB2312" w:hAnsi="仿宋" w:eastAsia="仿宋_GB2312" w:cs="仿宋_GB2312"/>
                <w:color w:val="000000" w:themeColor="text1"/>
                <w:sz w:val="24"/>
                <w14:textFill>
                  <w14:solidFill>
                    <w14:schemeClr w14:val="tx1"/>
                  </w14:solidFill>
                </w14:textFill>
              </w:rPr>
              <w:t>质疑函的方式：接收加盖单位公章的书面质疑函</w:t>
            </w:r>
          </w:p>
          <w:p>
            <w:pPr>
              <w:widowControl/>
              <w:spacing w:line="360" w:lineRule="auto"/>
              <w:ind w:firstLine="240" w:firstLineChars="100"/>
              <w:rPr>
                <w:rFonts w:ascii="仿宋_GB2312" w:hAnsi="仿宋" w:eastAsia="仿宋_GB2312" w:cs="仿宋_GB2312"/>
                <w:color w:val="000000" w:themeColor="text1"/>
                <w:kern w:val="0"/>
                <w:sz w:val="24"/>
                <w:u w:val="single"/>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联系单位：</w:t>
            </w:r>
            <w:r>
              <w:rPr>
                <w:rFonts w:hint="eastAsia" w:ascii="仿宋_GB2312" w:hAnsi="仿宋" w:eastAsia="仿宋_GB2312" w:cs="仿宋_GB2312"/>
                <w:color w:val="000000" w:themeColor="text1"/>
                <w:kern w:val="0"/>
                <w:sz w:val="24"/>
                <w:u w:val="single"/>
                <w14:textFill>
                  <w14:solidFill>
                    <w14:schemeClr w14:val="tx1"/>
                  </w14:solidFill>
                </w14:textFill>
              </w:rPr>
              <w:t>辽宁省沈抚公共资源交易服务有限公司</w:t>
            </w:r>
          </w:p>
          <w:p>
            <w:pPr>
              <w:widowControl/>
              <w:spacing w:line="360" w:lineRule="auto"/>
              <w:ind w:firstLine="240" w:firstLineChars="1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联 系 人：</w:t>
            </w:r>
            <w:r>
              <w:rPr>
                <w:rFonts w:hint="eastAsia" w:ascii="仿宋_GB2312" w:hAnsi="仿宋" w:eastAsia="仿宋_GB2312" w:cs="仿宋_GB2312"/>
                <w:color w:val="000000" w:themeColor="text1"/>
                <w:sz w:val="24"/>
                <w:u w:val="single"/>
                <w14:textFill>
                  <w14:solidFill>
                    <w14:schemeClr w14:val="tx1"/>
                  </w14:solidFill>
                </w14:textFill>
              </w:rPr>
              <w:t>高雨欣</w:t>
            </w:r>
          </w:p>
          <w:p>
            <w:pPr>
              <w:widowControl/>
              <w:spacing w:line="360" w:lineRule="auto"/>
              <w:ind w:firstLine="240" w:firstLineChars="100"/>
              <w:rPr>
                <w:rFonts w:ascii="仿宋_GB2312" w:hAnsi="仿宋" w:eastAsia="仿宋_GB2312" w:cs="仿宋_GB2312"/>
                <w:color w:val="000000" w:themeColor="text1"/>
                <w:kern w:val="0"/>
                <w:sz w:val="24"/>
                <w:u w:val="single"/>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联系电话：</w:t>
            </w:r>
            <w:r>
              <w:rPr>
                <w:rFonts w:hint="eastAsia" w:ascii="仿宋_GB2312" w:hAnsi="仿宋" w:eastAsia="仿宋_GB2312" w:cs="仿宋_GB2312"/>
                <w:color w:val="000000" w:themeColor="text1"/>
                <w:sz w:val="24"/>
                <w:u w:val="single"/>
                <w14:textFill>
                  <w14:solidFill>
                    <w14:schemeClr w14:val="tx1"/>
                  </w14:solidFill>
                </w14:textFill>
              </w:rPr>
              <w:t>024-31513417</w:t>
            </w:r>
          </w:p>
          <w:p>
            <w:pPr>
              <w:widowControl/>
              <w:spacing w:line="360" w:lineRule="auto"/>
              <w:ind w:firstLine="240" w:firstLineChars="100"/>
              <w:rPr>
                <w:rFonts w:ascii="仿宋_GB2312" w:hAnsi="仿宋" w:eastAsia="仿宋_GB2312" w:cs="仿宋_GB2312"/>
                <w:color w:val="000000" w:themeColor="text1"/>
                <w:kern w:val="0"/>
                <w:sz w:val="24"/>
                <w:u w:val="single"/>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通讯地址：</w:t>
            </w:r>
            <w:r>
              <w:rPr>
                <w:rFonts w:hint="eastAsia" w:ascii="仿宋_GB2312" w:hAnsi="仿宋" w:eastAsia="仿宋_GB2312" w:cs="仿宋_GB2312"/>
                <w:color w:val="000000" w:themeColor="text1"/>
                <w:sz w:val="24"/>
                <w:u w:val="single"/>
                <w14:textFill>
                  <w14:solidFill>
                    <w14:schemeClr w14:val="tx1"/>
                  </w14:solidFill>
                </w14:textFill>
              </w:rPr>
              <w:t>辽宁省沈阳市皇姑区北陵大街34号3号楼1502室</w:t>
            </w:r>
          </w:p>
          <w:p>
            <w:pPr>
              <w:widowControl/>
              <w:spacing w:line="360" w:lineRule="auto"/>
              <w:rPr>
                <w:rFonts w:ascii="仿宋_GB2312" w:hAnsi="仿宋" w:eastAsia="仿宋_GB2312" w:cs="仿宋_GB2312"/>
                <w:color w:val="000000" w:themeColor="text1"/>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3</w:t>
            </w:r>
            <w:r>
              <w:rPr>
                <w:rFonts w:hint="eastAsia" w:ascii="仿宋_GB2312" w:hAnsi="仿宋" w:eastAsia="仿宋_GB2312" w:cs="仿宋_GB2312"/>
                <w:color w:val="000000" w:themeColor="text1"/>
                <w:sz w:val="24"/>
                <w14:textFill>
                  <w14:solidFill>
                    <w14:schemeClr w14:val="tx1"/>
                  </w14:solidFill>
                </w14:textFill>
              </w:rPr>
              <w:t>.质疑函的内容、格式：应符合《政府采购质疑和投诉办法》相关规定和财政部门制定的《政府采购质疑函范本》格式。</w:t>
            </w:r>
          </w:p>
          <w:p>
            <w:pPr>
              <w:pStyle w:val="7"/>
              <w:spacing w:line="360" w:lineRule="auto"/>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二、投标人应在法定质疑期内一次性针对同一采购程序环节提出质疑，否则针对再次提出质疑将不予接收。（采购程序环节分为：</w:t>
            </w:r>
            <w:r>
              <w:rPr>
                <w:rFonts w:hint="eastAsia" w:ascii="仿宋_GB2312" w:hAnsi="仿宋" w:eastAsia="仿宋_GB2312" w:cs="仿宋_GB2312"/>
                <w:color w:val="000000" w:themeColor="text1"/>
                <w:kern w:val="0"/>
                <w:sz w:val="24"/>
                <w14:textFill>
                  <w14:solidFill>
                    <w14:schemeClr w14:val="tx1"/>
                  </w14:solidFill>
                </w14:textFill>
              </w:rPr>
              <w:t>招标</w:t>
            </w:r>
            <w:r>
              <w:rPr>
                <w:rFonts w:hint="eastAsia" w:ascii="仿宋_GB2312" w:hAnsi="仿宋" w:eastAsia="仿宋_GB2312" w:cs="仿宋_GB2312"/>
                <w:color w:val="000000" w:themeColor="text1"/>
                <w:sz w:val="24"/>
                <w14:textFill>
                  <w14:solidFill>
                    <w14:schemeClr w14:val="tx1"/>
                  </w14:solidFill>
                </w14:textFill>
              </w:rPr>
              <w:t>公告、招标文件、招标过程、中标结果）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补充说明1</w:t>
            </w:r>
          </w:p>
        </w:tc>
        <w:tc>
          <w:tcPr>
            <w:tcW w:w="1899" w:type="dxa"/>
            <w:vAlign w:val="center"/>
          </w:tcPr>
          <w:p>
            <w:pPr>
              <w:widowControl/>
              <w:spacing w:line="360" w:lineRule="auto"/>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参与投标（响应）相关要求</w:t>
            </w:r>
          </w:p>
        </w:tc>
        <w:tc>
          <w:tcPr>
            <w:tcW w:w="6100" w:type="dxa"/>
            <w:vAlign w:val="center"/>
          </w:tcPr>
          <w:p>
            <w:pPr>
              <w:adjustRightInd w:val="0"/>
              <w:snapToGrid w:val="0"/>
              <w:spacing w:line="440" w:lineRule="exact"/>
              <w:ind w:firstLine="480" w:firstLineChars="200"/>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s="宋体"/>
                <w:color w:val="000000" w:themeColor="text1"/>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001、003、004包不允许联合体投标；002包允许联合体投标</w:t>
            </w:r>
            <w:r>
              <w:rPr>
                <w:rFonts w:ascii="仿宋_GB2312" w:hAnsi="仿宋" w:eastAsia="仿宋_GB2312" w:cs="仿宋_GB2312"/>
                <w:color w:val="000000" w:themeColor="text1"/>
                <w:sz w:val="24"/>
                <w14:textFill>
                  <w14:solidFill>
                    <w14:schemeClr w14:val="tx1"/>
                  </w14:solidFill>
                </w14:textFill>
              </w:rPr>
              <w:t>。</w:t>
            </w:r>
          </w:p>
          <w:p>
            <w:pPr>
              <w:widowControl/>
              <w:adjustRightInd w:val="0"/>
              <w:snapToGrid w:val="0"/>
              <w:spacing w:line="380" w:lineRule="exact"/>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宋体"/>
                <w:color w:val="000000" w:themeColor="text1"/>
                <w:sz w:val="24"/>
                <w14:textFill>
                  <w14:solidFill>
                    <w14:schemeClr w14:val="tx1"/>
                  </w14:solidFill>
                </w14:textFill>
              </w:rPr>
              <w:t>2.供应商</w:t>
            </w:r>
            <w:r>
              <w:rPr>
                <w:rFonts w:hint="eastAsia" w:ascii="仿宋_GB2312" w:hAnsi="仿宋" w:eastAsia="仿宋_GB2312" w:cs="仿宋_GB2312"/>
                <w:color w:val="000000" w:themeColor="text1"/>
                <w:sz w:val="24"/>
                <w14:textFill>
                  <w14:solidFill>
                    <w14:schemeClr w14:val="tx1"/>
                  </w14:solidFill>
                </w14:textFill>
              </w:rPr>
              <w:t>须及时办理CA数字证书，否则应自行承担无法正常参与项目的不利后果。投标人应详阅辽宁政府采购网首页“办事指南”中的“辽宁政府采购网关于办理CA数字证书的操作手册”和“辽宁政府采购网新版系统供应商操作手册”，具体规定详见《关于启用政府采购数字认证和电子招投标业务有关事宜的通知》（辽财采〔2020〕298号）。</w:t>
            </w:r>
          </w:p>
          <w:p>
            <w:pPr>
              <w:widowControl/>
              <w:spacing w:line="43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投标文件递交方式为线上递交，同时需现场递交备份投标文件，并保持内容一致。备份投标文件为以U盘形式存储的加密备份文件，具体规定详见《关于完善政府采购电子评审业务流程等有关事宜的通知》（辽财采〔2021〕363号）。</w:t>
            </w:r>
          </w:p>
          <w:p>
            <w:pPr>
              <w:widowControl/>
              <w:spacing w:line="43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4.开标现场各</w:t>
            </w:r>
            <w:r>
              <w:rPr>
                <w:rFonts w:hint="eastAsia" w:ascii="仿宋_GB2312" w:hAnsi="仿宋" w:eastAsia="仿宋_GB2312" w:cs="宋体"/>
                <w:color w:val="000000" w:themeColor="text1"/>
                <w:sz w:val="24"/>
                <w14:textFill>
                  <w14:solidFill>
                    <w14:schemeClr w14:val="tx1"/>
                  </w14:solidFill>
                </w14:textFill>
              </w:rPr>
              <w:t>供应商</w:t>
            </w:r>
            <w:r>
              <w:rPr>
                <w:rFonts w:hint="eastAsia" w:ascii="仿宋_GB2312" w:hAnsi="仿宋" w:eastAsia="仿宋_GB2312" w:cs="仿宋_GB2312"/>
                <w:color w:val="000000" w:themeColor="text1"/>
                <w:sz w:val="24"/>
                <w14:textFill>
                  <w14:solidFill>
                    <w14:schemeClr w14:val="tx1"/>
                  </w14:solidFill>
                </w14:textFill>
              </w:rPr>
              <w:t>可远程解密或自行携带笔记本电脑及CA数字证书等电子设备，进行Ukey或手机移动证书（扫码）登录、报价解密等相关操作。</w:t>
            </w:r>
          </w:p>
          <w:p>
            <w:pPr>
              <w:widowControl/>
              <w:adjustRightInd w:val="0"/>
              <w:snapToGrid w:val="0"/>
              <w:spacing w:line="430" w:lineRule="exact"/>
              <w:ind w:firstLine="480" w:firstLineChars="200"/>
              <w:jc w:val="left"/>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s="宋体"/>
                <w:color w:val="000000" w:themeColor="text1"/>
                <w:sz w:val="24"/>
                <w14:textFill>
                  <w14:solidFill>
                    <w14:schemeClr w14:val="tx1"/>
                  </w14:solidFill>
                </w14:textFill>
              </w:rPr>
              <w:t>5.报价解密在30分钟内完成。供应商在电子评审活动中出现以下情形的，应按如下规定进行处理：</w:t>
            </w:r>
          </w:p>
          <w:p>
            <w:pPr>
              <w:widowControl/>
              <w:adjustRightInd w:val="0"/>
              <w:snapToGrid w:val="0"/>
              <w:spacing w:line="430" w:lineRule="exact"/>
              <w:ind w:firstLine="480" w:firstLineChars="200"/>
              <w:jc w:val="left"/>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s="宋体"/>
                <w:color w:val="000000" w:themeColor="text1"/>
                <w:sz w:val="24"/>
                <w14:textFill>
                  <w14:solidFill>
                    <w14:schemeClr w14:val="tx1"/>
                  </w14:solidFill>
                </w14:textFill>
              </w:rPr>
              <w:t>（1）因供应商原因造成投标文件未解密的；</w:t>
            </w:r>
          </w:p>
          <w:p>
            <w:pPr>
              <w:widowControl/>
              <w:adjustRightInd w:val="0"/>
              <w:snapToGrid w:val="0"/>
              <w:spacing w:line="430" w:lineRule="exact"/>
              <w:ind w:firstLine="480" w:firstLineChars="200"/>
              <w:jc w:val="left"/>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s="宋体"/>
                <w:color w:val="000000" w:themeColor="text1"/>
                <w:sz w:val="24"/>
                <w14:textFill>
                  <w14:solidFill>
                    <w14:schemeClr w14:val="tx1"/>
                  </w14:solidFill>
                </w14:textFill>
              </w:rPr>
              <w:t>（2）因供应商自用设备原因造成的未在规定时间内解密、上传文件或投标报价等问题影响电子评审的；</w:t>
            </w:r>
          </w:p>
          <w:p>
            <w:pPr>
              <w:widowControl/>
              <w:adjustRightInd w:val="0"/>
              <w:snapToGrid w:val="0"/>
              <w:spacing w:line="430" w:lineRule="exact"/>
              <w:ind w:firstLine="480" w:firstLineChars="200"/>
              <w:jc w:val="left"/>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s="宋体"/>
                <w:color w:val="000000" w:themeColor="text1"/>
                <w:sz w:val="24"/>
                <w14:textFill>
                  <w14:solidFill>
                    <w14:schemeClr w14:val="tx1"/>
                  </w14:solidFill>
                </w14:textFill>
              </w:rPr>
              <w:t>（3）因供应商原因未对文件校验造成信息缺失、文件内容或格式不正确以及备份文件不符合要求等问题影响评审的。</w:t>
            </w:r>
          </w:p>
          <w:p>
            <w:pPr>
              <w:widowControl/>
              <w:adjustRightInd w:val="0"/>
              <w:snapToGrid w:val="0"/>
              <w:spacing w:line="430" w:lineRule="exact"/>
              <w:ind w:firstLine="480" w:firstLineChars="200"/>
              <w:jc w:val="left"/>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s="宋体"/>
                <w:color w:val="000000" w:themeColor="text1"/>
                <w:sz w:val="24"/>
                <w14:textFill>
                  <w14:solidFill>
                    <w14:schemeClr w14:val="tx1"/>
                  </w14:solidFill>
                </w14:textFill>
              </w:rPr>
              <w:t>出现前款（1）（2）情形的，视为放弃投标；出现前款（3）情形的，由供应商自行承担相应责任。</w:t>
            </w:r>
          </w:p>
          <w:p>
            <w:pPr>
              <w:widowControl/>
              <w:adjustRightInd w:val="0"/>
              <w:snapToGrid w:val="0"/>
              <w:spacing w:line="430" w:lineRule="exact"/>
              <w:ind w:firstLine="480" w:firstLineChars="200"/>
              <w:jc w:val="left"/>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s="宋体"/>
                <w:color w:val="000000" w:themeColor="text1"/>
                <w:sz w:val="24"/>
                <w14:textFill>
                  <w14:solidFill>
                    <w14:schemeClr w14:val="tx1"/>
                  </w14:solidFill>
                </w14:textFill>
              </w:rPr>
              <w:t>6.在电子化开评标过程中出现的其他特殊情况及其他未尽事宜，按财政厅最新文件执行。</w:t>
            </w:r>
          </w:p>
          <w:p>
            <w:pPr>
              <w:widowControl/>
              <w:spacing w:line="43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注：</w:t>
            </w:r>
            <w:r>
              <w:rPr>
                <w:rFonts w:hint="eastAsia" w:ascii="仿宋_GB2312" w:hAnsi="仿宋" w:eastAsia="仿宋_GB2312" w:cs="宋体"/>
                <w:color w:val="000000" w:themeColor="text1"/>
                <w:sz w:val="24"/>
                <w14:textFill>
                  <w14:solidFill>
                    <w14:schemeClr w14:val="tx1"/>
                  </w14:solidFill>
                </w14:textFill>
              </w:rPr>
              <w:t>供应商</w:t>
            </w:r>
            <w:r>
              <w:rPr>
                <w:rFonts w:hint="eastAsia" w:ascii="仿宋_GB2312" w:hAnsi="仿宋" w:eastAsia="仿宋_GB2312" w:cs="仿宋_GB2312"/>
                <w:color w:val="000000" w:themeColor="text1"/>
                <w:sz w:val="24"/>
                <w14:textFill>
                  <w14:solidFill>
                    <w14:schemeClr w14:val="tx1"/>
                  </w14:solidFill>
                </w14:textFill>
              </w:rPr>
              <w:t>在投标的全过程中要随时关注辽宁政府采购网，及时获取相关信息，否则由此造成的一切后果，由</w:t>
            </w:r>
            <w:r>
              <w:rPr>
                <w:rFonts w:hint="eastAsia" w:ascii="仿宋_GB2312" w:hAnsi="仿宋" w:eastAsia="仿宋_GB2312" w:cs="宋体"/>
                <w:color w:val="000000" w:themeColor="text1"/>
                <w:sz w:val="24"/>
                <w14:textFill>
                  <w14:solidFill>
                    <w14:schemeClr w14:val="tx1"/>
                  </w14:solidFill>
                </w14:textFill>
              </w:rPr>
              <w:t>供应商</w:t>
            </w:r>
            <w:r>
              <w:rPr>
                <w:rFonts w:hint="eastAsia" w:ascii="仿宋_GB2312" w:hAnsi="仿宋" w:eastAsia="仿宋_GB2312" w:cs="仿宋_GB2312"/>
                <w:color w:val="000000" w:themeColor="text1"/>
                <w:sz w:val="24"/>
                <w14:textFill>
                  <w14:solidFill>
                    <w14:schemeClr w14:val="tx1"/>
                  </w14:solidFill>
                </w14:textFill>
              </w:rPr>
              <w:t>自行承担。</w:t>
            </w:r>
          </w:p>
          <w:p>
            <w:pPr>
              <w:widowControl/>
              <w:spacing w:line="43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辽宁省政府采购网技术咨询电话：400-128-8588</w:t>
            </w:r>
          </w:p>
          <w:p>
            <w:pPr>
              <w:widowControl/>
              <w:spacing w:line="43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CA数字证书办理咨询电话：024-26206677或15640359297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补充说明2</w:t>
            </w:r>
          </w:p>
        </w:tc>
        <w:tc>
          <w:tcPr>
            <w:tcW w:w="1899" w:type="dxa"/>
            <w:vAlign w:val="center"/>
          </w:tcPr>
          <w:p>
            <w:pPr>
              <w:widowControl/>
              <w:spacing w:line="360" w:lineRule="auto"/>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采购标的对应的中小企业划分标准所属行业</w:t>
            </w:r>
          </w:p>
        </w:tc>
        <w:tc>
          <w:tcPr>
            <w:tcW w:w="6100" w:type="dxa"/>
            <w:vAlign w:val="center"/>
          </w:tcPr>
          <w:p>
            <w:pPr>
              <w:widowControl/>
              <w:spacing w:line="43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中小企业划分标准所属行业为</w:t>
            </w:r>
            <w:r>
              <w:rPr>
                <w:rFonts w:hint="eastAsia" w:ascii="仿宋_GB2312" w:hAnsi="仿宋" w:eastAsia="仿宋_GB2312" w:cs="仿宋_GB2312"/>
                <w:b/>
                <w:bCs/>
                <w:color w:val="000000" w:themeColor="text1"/>
                <w:sz w:val="24"/>
                <w14:textFill>
                  <w14:solidFill>
                    <w14:schemeClr w14:val="tx1"/>
                  </w14:solidFill>
                </w14:textFill>
              </w:rPr>
              <w:t>“软件和信息技术服务业”，“工业（包括采矿业，制造业，电力、热力、燃气及水生产和供应业）”，“信息传输业”，“其他未列明行业”</w:t>
            </w:r>
            <w:r>
              <w:rPr>
                <w:rFonts w:hint="eastAsia" w:ascii="仿宋_GB2312" w:hAnsi="仿宋" w:eastAsia="仿宋_GB2312" w:cs="仿宋_GB2312"/>
                <w:color w:val="000000" w:themeColor="text1"/>
                <w:sz w:val="24"/>
                <w14:textFill>
                  <w14:solidFill>
                    <w14:schemeClr w14:val="tx1"/>
                  </w14:solidFill>
                </w14:textFill>
              </w:rPr>
              <w:t>；根据《工业和信息化部 统计局 发展改革委 财政部关于印发中小企业划型标准规定的通知》（工信部联企业〔2011〕300号）规定：</w:t>
            </w:r>
          </w:p>
          <w:p>
            <w:pPr>
              <w:widowControl/>
              <w:spacing w:line="43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软件和信息技术服务业：</w:t>
            </w:r>
            <w:r>
              <w:rPr>
                <w:rFonts w:hint="eastAsia" w:ascii="仿宋_GB2312" w:hAnsi="仿宋" w:eastAsia="仿宋_GB2312" w:cs="仿宋_GB2312"/>
                <w:color w:val="000000" w:themeColor="text1"/>
                <w:sz w:val="24"/>
                <w14:textFill>
                  <w14:solidFill>
                    <w14:schemeClr w14:val="tx1"/>
                  </w14:solidFill>
                </w14:textFill>
              </w:rPr>
              <w:t>从业人员300人以下的为中小微型企业。其中，从业人员100人及以上的为中型企业；从业人员10人及以上的为小型企业；从业人员10人以下的为微型企业。</w:t>
            </w:r>
          </w:p>
          <w:p>
            <w:pPr>
              <w:widowControl/>
              <w:spacing w:line="43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工业（包括采矿业，制造业，电力、热力、燃气及水生产和供应业）：</w:t>
            </w:r>
            <w:r>
              <w:rPr>
                <w:rFonts w:hint="eastAsia" w:ascii="仿宋_GB2312" w:hAnsi="仿宋" w:eastAsia="仿宋_GB2312" w:cs="仿宋_GB2312"/>
                <w:color w:val="000000" w:themeColor="text1"/>
                <w:sz w:val="24"/>
                <w14:textFill>
                  <w14:solidFill>
                    <w14:schemeClr w14:val="tx1"/>
                  </w14:solidFill>
                </w14:textFill>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widowControl/>
              <w:spacing w:line="43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信息传输业：</w:t>
            </w:r>
            <w:r>
              <w:rPr>
                <w:rFonts w:hint="eastAsia" w:ascii="仿宋_GB2312" w:hAnsi="仿宋" w:eastAsia="仿宋_GB2312" w:cs="仿宋_GB2312"/>
                <w:color w:val="000000" w:themeColor="text1"/>
                <w:sz w:val="24"/>
                <w14:textFill>
                  <w14:solidFill>
                    <w14:schemeClr w14:val="tx1"/>
                  </w14:solidFill>
                </w14:textFill>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widowControl/>
              <w:spacing w:line="43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其他未列明行业：</w:t>
            </w:r>
            <w:r>
              <w:rPr>
                <w:rFonts w:hint="eastAsia" w:ascii="仿宋_GB2312" w:hAnsi="仿宋" w:eastAsia="仿宋_GB2312" w:cs="仿宋_GB2312"/>
                <w:color w:val="000000" w:themeColor="text1"/>
                <w:sz w:val="24"/>
                <w14:textFill>
                  <w14:solidFill>
                    <w14:schemeClr w14:val="tx1"/>
                  </w14:solidFill>
                </w14:textFill>
              </w:rPr>
              <w:t>从业人员300人以下的为中小微型企业。其中，从业人员100人及以上的为中型企业；从业人员10人及以上的为小型企业；从业人员10人以下的为微型企业。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补充说明3</w:t>
            </w:r>
          </w:p>
        </w:tc>
        <w:tc>
          <w:tcPr>
            <w:tcW w:w="1899" w:type="dxa"/>
            <w:vAlign w:val="center"/>
          </w:tcPr>
          <w:p>
            <w:pPr>
              <w:widowControl/>
              <w:spacing w:line="360" w:lineRule="auto"/>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计分原则</w:t>
            </w:r>
          </w:p>
        </w:tc>
        <w:tc>
          <w:tcPr>
            <w:tcW w:w="6100" w:type="dxa"/>
            <w:vAlign w:val="center"/>
          </w:tcPr>
          <w:p>
            <w:pPr>
              <w:widowControl/>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评标委员会依照评标方法对每个有效投标文件进行打分。计分原则：所有评标委员打分的算术平均值为投标人的最终得分（得分按四舍五入方式保留小数点后二位）。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37" w:type="dxa"/>
            <w:vAlign w:val="center"/>
          </w:tcPr>
          <w:p>
            <w:pPr>
              <w:widowControl/>
              <w:spacing w:line="360" w:lineRule="auto"/>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补充说明</w:t>
            </w:r>
            <w:r>
              <w:rPr>
                <w:rFonts w:ascii="仿宋_GB2312" w:hAnsi="仿宋" w:eastAsia="仿宋_GB2312" w:cs="仿宋_GB2312"/>
                <w:color w:val="000000" w:themeColor="text1"/>
                <w:kern w:val="0"/>
                <w:sz w:val="24"/>
                <w14:textFill>
                  <w14:solidFill>
                    <w14:schemeClr w14:val="tx1"/>
                  </w14:solidFill>
                </w14:textFill>
              </w:rPr>
              <w:t>4</w:t>
            </w:r>
          </w:p>
        </w:tc>
        <w:tc>
          <w:tcPr>
            <w:tcW w:w="1899" w:type="dxa"/>
            <w:vAlign w:val="center"/>
          </w:tcPr>
          <w:p>
            <w:pPr>
              <w:widowControl/>
              <w:spacing w:line="360" w:lineRule="auto"/>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兼投兼中</w:t>
            </w:r>
          </w:p>
        </w:tc>
        <w:tc>
          <w:tcPr>
            <w:tcW w:w="6100" w:type="dxa"/>
            <w:vAlign w:val="center"/>
          </w:tcPr>
          <w:p>
            <w:pPr>
              <w:widowControl/>
              <w:spacing w:line="520" w:lineRule="exac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sym w:font="Wingdings 2" w:char="00A3"/>
            </w:r>
            <w:r>
              <w:rPr>
                <w:rFonts w:hint="eastAsia" w:ascii="仿宋_GB2312" w:hAnsi="仿宋" w:eastAsia="仿宋_GB2312" w:cs="仿宋_GB2312"/>
                <w:b/>
                <w:color w:val="000000" w:themeColor="text1"/>
                <w:sz w:val="24"/>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兼投兼中</w:t>
            </w:r>
          </w:p>
          <w:p>
            <w:pPr>
              <w:widowControl/>
              <w:spacing w:line="360" w:lineRule="auto"/>
              <w:rPr>
                <w:rFonts w:ascii="仿宋_GB2312" w:hAnsi="宋体" w:eastAsia="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sym w:font="Wingdings 2" w:char="0052"/>
            </w:r>
            <w:r>
              <w:rPr>
                <w:rFonts w:ascii="仿宋_GB2312" w:hAnsi="仿宋" w:eastAsia="仿宋_GB2312" w:cs="仿宋_GB2312"/>
                <w:b/>
                <w:color w:val="000000" w:themeColor="text1"/>
                <w:sz w:val="24"/>
                <w14:textFill>
                  <w14:solidFill>
                    <w14:schemeClr w14:val="tx1"/>
                  </w14:solidFill>
                </w14:textFill>
              </w:rPr>
              <w:t xml:space="preserve"> </w:t>
            </w:r>
            <w:r>
              <w:rPr>
                <w:rFonts w:hint="eastAsia" w:ascii="仿宋_GB2312" w:hAnsi="仿宋" w:eastAsia="仿宋_GB2312" w:cs="仿宋_GB2312"/>
                <w:b/>
                <w:color w:val="000000" w:themeColor="text1"/>
                <w:sz w:val="24"/>
                <w14:textFill>
                  <w14:solidFill>
                    <w14:schemeClr w14:val="tx1"/>
                  </w14:solidFill>
                </w14:textFill>
              </w:rPr>
              <w:t>兼投不兼中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trPr>
        <w:tc>
          <w:tcPr>
            <w:tcW w:w="937" w:type="dxa"/>
            <w:vAlign w:val="center"/>
          </w:tcPr>
          <w:p>
            <w:pPr>
              <w:widowControl/>
              <w:spacing w:line="360" w:lineRule="auto"/>
              <w:jc w:val="center"/>
              <w:rPr>
                <w:rFonts w:ascii="仿宋_GB2312" w:hAnsi="仿宋" w:eastAsia="仿宋_GB2312" w:cs="仿宋_GB2312"/>
                <w:b/>
                <w:bCs/>
                <w:color w:val="000000" w:themeColor="text1"/>
                <w:kern w:val="0"/>
                <w:sz w:val="24"/>
                <w14:textFill>
                  <w14:solidFill>
                    <w14:schemeClr w14:val="tx1"/>
                  </w14:solidFill>
                </w14:textFill>
              </w:rPr>
            </w:pPr>
            <w:r>
              <w:rPr>
                <w:rFonts w:hint="eastAsia" w:ascii="仿宋_GB2312" w:hAnsi="仿宋" w:eastAsia="仿宋_GB2312" w:cs="仿宋_GB2312"/>
                <w:b/>
                <w:bCs/>
                <w:color w:val="000000" w:themeColor="text1"/>
                <w:kern w:val="0"/>
                <w:sz w:val="24"/>
                <w14:textFill>
                  <w14:solidFill>
                    <w14:schemeClr w14:val="tx1"/>
                  </w14:solidFill>
                </w14:textFill>
              </w:rPr>
              <w:t>补充说明5</w:t>
            </w:r>
          </w:p>
        </w:tc>
        <w:tc>
          <w:tcPr>
            <w:tcW w:w="1899" w:type="dxa"/>
            <w:vAlign w:val="center"/>
          </w:tcPr>
          <w:p>
            <w:pPr>
              <w:widowControl/>
              <w:spacing w:line="360" w:lineRule="auto"/>
              <w:jc w:val="center"/>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系统融合及运维服务要求</w:t>
            </w:r>
          </w:p>
        </w:tc>
        <w:tc>
          <w:tcPr>
            <w:tcW w:w="6100" w:type="dxa"/>
            <w:vAlign w:val="center"/>
          </w:tcPr>
          <w:p>
            <w:pPr>
              <w:widowControl/>
              <w:spacing w:line="430" w:lineRule="exact"/>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各包组系统之间须具备兼容性，开发过程中应提前预留好程序对接接口，要充分考虑系统及数据整合，共同配合平台联调；</w:t>
            </w:r>
            <w:r>
              <w:rPr>
                <w:rFonts w:hint="eastAsia" w:ascii="仿宋_GB2312" w:hAnsi="宋体" w:eastAsia="仿宋_GB2312"/>
                <w:b/>
                <w:bCs/>
                <w:color w:val="000000" w:themeColor="text1"/>
                <w:sz w:val="24"/>
                <w14:textFill>
                  <w14:solidFill>
                    <w14:schemeClr w14:val="tx1"/>
                  </w14:solidFill>
                </w14:textFill>
              </w:rPr>
              <w:t>各包组及其业务交叉部分，由实际负责建设的中标人负责运维服务，运维服务期限统一均为合同签订之日起三年。</w:t>
            </w:r>
            <w:r>
              <w:rPr>
                <w:rFonts w:hint="eastAsia" w:ascii="仿宋_GB2312" w:hAnsi="仿宋" w:eastAsia="仿宋_GB2312" w:cs="仿宋_GB2312"/>
                <w:b/>
                <w:bCs/>
                <w:color w:val="000000" w:themeColor="text1"/>
                <w:sz w:val="24"/>
                <w14:textFill>
                  <w14:solidFill>
                    <w14:schemeClr w14:val="tx1"/>
                  </w14:solidFill>
                </w14:textFill>
              </w:rPr>
              <w:t>各包组中标人需无条件配合系统融合搭建，完成数据交互对接工作。</w:t>
            </w:r>
          </w:p>
        </w:tc>
      </w:tr>
    </w:tbl>
    <w:p>
      <w:pP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注：表格中“</w:t>
      </w:r>
      <w:r>
        <w:rPr>
          <w:rFonts w:hint="eastAsia" w:ascii="仿宋_GB2312" w:hAnsi="仿宋" w:eastAsia="仿宋_GB2312" w:cs="仿宋_GB2312"/>
          <w:color w:val="000000" w:themeColor="text1"/>
          <w:sz w:val="24"/>
          <w14:textFill>
            <w14:solidFill>
              <w14:schemeClr w14:val="tx1"/>
            </w14:solidFill>
          </w14:textFill>
        </w:rPr>
        <w:sym w:font="Wingdings 2" w:char="0052"/>
      </w:r>
      <w:r>
        <w:rPr>
          <w:rFonts w:hint="eastAsia" w:ascii="仿宋_GB2312" w:hAnsi="仿宋" w:eastAsia="仿宋_GB2312" w:cs="仿宋_GB2312"/>
          <w:color w:val="000000" w:themeColor="text1"/>
          <w:sz w:val="24"/>
          <w14:textFill>
            <w14:solidFill>
              <w14:schemeClr w14:val="tx1"/>
            </w14:solidFill>
          </w14:textFill>
        </w:rPr>
        <w:t>”项或“■”项为被选中项。</w:t>
      </w:r>
    </w:p>
    <w:p>
      <w:pPr>
        <w:pStyle w:val="3"/>
        <w:adjustRightInd w:val="0"/>
        <w:snapToGrid w:val="0"/>
        <w:spacing w:before="0" w:after="0" w:line="360" w:lineRule="auto"/>
        <w:rPr>
          <w:rFonts w:ascii="楷体_GB2312" w:hAnsi="仿宋" w:eastAsia="楷体_GB2312" w:cs="仿宋_GB2312"/>
          <w:color w:val="000000" w:themeColor="text1"/>
          <w:sz w:val="32"/>
          <w:szCs w:val="36"/>
          <w14:textFill>
            <w14:solidFill>
              <w14:schemeClr w14:val="tx1"/>
            </w14:solidFill>
          </w14:textFill>
        </w:rPr>
      </w:pPr>
      <w:r>
        <w:rPr>
          <w:rFonts w:hint="eastAsia" w:ascii="仿宋_GB2312" w:hAnsi="仿宋" w:eastAsia="仿宋_GB2312" w:cs="仿宋_GB2312"/>
          <w:color w:val="000000" w:themeColor="text1"/>
          <w:sz w:val="21"/>
          <w:szCs w:val="21"/>
          <w14:textFill>
            <w14:solidFill>
              <w14:schemeClr w14:val="tx1"/>
            </w14:solidFill>
          </w14:textFill>
        </w:rPr>
        <w:br w:type="page"/>
      </w:r>
      <w:bookmarkStart w:id="14" w:name="_Toc30384_WPSOffice_Level2"/>
      <w:r>
        <w:rPr>
          <w:rFonts w:hint="eastAsia" w:ascii="楷体_GB2312" w:hAnsi="仿宋" w:eastAsia="楷体_GB2312" w:cs="仿宋_GB2312"/>
          <w:color w:val="000000" w:themeColor="text1"/>
          <w:sz w:val="32"/>
          <w:szCs w:val="36"/>
          <w14:textFill>
            <w14:solidFill>
              <w14:schemeClr w14:val="tx1"/>
            </w14:solidFill>
          </w14:textFill>
        </w:rPr>
        <w:t>二 总则</w:t>
      </w:r>
      <w:bookmarkEnd w:id="14"/>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1.采购人、采购组织机构及投标人</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1.1采购人：是指依法进行政府采购的国家机关、事业单位、团体组织。本项目采购人见投标人须知表1.1条。</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1.2采购组织机构：是指集中采购机构或从事采购代理业务的社会中介机构，本项目的采购组织机构见投标人须知表1.2条。</w:t>
      </w:r>
    </w:p>
    <w:p>
      <w:pPr>
        <w:adjustRightInd w:val="0"/>
        <w:snapToGrid w:val="0"/>
        <w:spacing w:line="360" w:lineRule="auto"/>
        <w:ind w:firstLine="240" w:firstLineChars="1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★1.3投标人：是指向采购人提供货物、工程或者服务的法人、非法人组织或者自然人。本项目的投标人及其投标服务须满足以下条件：</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1.3.1在中华人民共和国境内注册，能够独立承担民事责任，有生产或供应能力的本国供应商。</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1.3.2符合《中华人民共和国政府采购法》第二十二条关于供应商条件的规定，遵守本项目采购人本级和上级财政部门关于政府采购的有关规定。</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1.3.3以采购组织机构认可的方式获得了本项目的招标文件。</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1.3.4符合投标人须知表1.3.4条中规定的资格条件。</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1.3.5若投标人须知表1.3.5条中写明专门面向中小企业采购的，如投标人为非中小企业且所投产品为非中小企业产品，其投标将被认定为</w:t>
      </w:r>
      <w:r>
        <w:rPr>
          <w:rFonts w:hint="eastAsia" w:ascii="仿宋_GB2312" w:hAnsi="仿宋" w:eastAsia="仿宋_GB2312" w:cs="仿宋_GB2312"/>
          <w:b/>
          <w:bCs/>
          <w:color w:val="000000" w:themeColor="text1"/>
          <w:sz w:val="24"/>
          <w14:textFill>
            <w14:solidFill>
              <w14:schemeClr w14:val="tx1"/>
            </w14:solidFill>
          </w14:textFill>
        </w:rPr>
        <w:t>投标无效</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1.3.6若投标人须知表1.3.6款中写明采购服务所伴随的货物为财政部、发展改革委、生态环境部等部门发布的品目清单中属于实施政府强制采购品目清单范围的节能产品，如投标人所投伴随的货物不具备依据国家确定的认证机构出具的、处于有效期之内的节能产品认证证书，其投标将被认定为</w:t>
      </w:r>
      <w:r>
        <w:rPr>
          <w:rFonts w:hint="eastAsia" w:ascii="仿宋_GB2312" w:hAnsi="仿宋" w:eastAsia="仿宋_GB2312" w:cs="仿宋_GB2312"/>
          <w:b/>
          <w:bCs/>
          <w:color w:val="000000" w:themeColor="text1"/>
          <w:sz w:val="24"/>
          <w14:textFill>
            <w14:solidFill>
              <w14:schemeClr w14:val="tx1"/>
            </w14:solidFill>
          </w14:textFill>
        </w:rPr>
        <w:t>投标无效</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240" w:firstLineChars="1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★1.4如投标人须知表1.4条中允许联合体投标，对联合体规定如下：</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1.4.1两个以上供应商可以组成一个投标联合体，以一个投标人的身份投标。</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1.4.2联合体各方均应符合《中华人民共和国政府采购法》第二十二条规定的条件。</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1.4.3采购人根据采购项目对投标人的特殊要求，联合体中至少应当有一方符合相关规定。</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1.4.4联合体各方应签订共同投标协议，明确约定联合体各方承担的工作和相应的责任。</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1.4.5大中型企业、其他自然人、法人或者非法人组织与小型、微型企业组成联合体共同参加投标，共同投标协议中应写明小型、微型企业的协议合同金额占到共同投标协议投标总金额的比例。</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1.4.6联合体中有同类资质的供应商按照联合体分工承担相同工作的，按照较低的资质等级确定联合体的资质等级。</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1.4.7以联合体形式参加政府采购活动的，联合体各方不得再单独参加或者与其他供应商另外组成联合体参加本项目投标，否则相关投标将被认定为</w:t>
      </w:r>
      <w:r>
        <w:rPr>
          <w:rFonts w:hint="eastAsia" w:ascii="仿宋_GB2312" w:hAnsi="仿宋" w:eastAsia="仿宋_GB2312" w:cs="仿宋_GB2312"/>
          <w:b/>
          <w:bCs/>
          <w:color w:val="000000" w:themeColor="text1"/>
          <w:sz w:val="24"/>
          <w14:textFill>
            <w14:solidFill>
              <w14:schemeClr w14:val="tx1"/>
            </w14:solidFill>
          </w14:textFill>
        </w:rPr>
        <w:t>投标无效</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（1）两个以上的自然人、法人或者其他组织可以组成一个联合体，以一个投标人的身份共同参加政府采购活动。</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（2）联合体中标的，联合体各方应共同与采购人签订采购合同，就采购合同约定的事项对采购人承担连带责任。</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1.4.8对联合体投标的其他资格要求见投标人须知表1.4.8条。</w:t>
      </w:r>
    </w:p>
    <w:p>
      <w:pPr>
        <w:adjustRightInd w:val="0"/>
        <w:snapToGrid w:val="0"/>
        <w:spacing w:line="360" w:lineRule="auto"/>
        <w:ind w:firstLine="240" w:firstLineChars="1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★1.5单位负责人为同一人或者存在直接控股、管理关系的不同供应商，其相关投标将被认定为</w:t>
      </w:r>
      <w:r>
        <w:rPr>
          <w:rFonts w:hint="eastAsia" w:ascii="仿宋_GB2312" w:hAnsi="仿宋" w:eastAsia="仿宋_GB2312" w:cs="仿宋_GB2312"/>
          <w:b/>
          <w:bCs/>
          <w:color w:val="000000" w:themeColor="text1"/>
          <w:sz w:val="24"/>
          <w14:textFill>
            <w14:solidFill>
              <w14:schemeClr w14:val="tx1"/>
            </w14:solidFill>
          </w14:textFill>
        </w:rPr>
        <w:t>投标无效</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240" w:firstLineChars="1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★1.6为本项目提供过整体设计、规范编制或者项目管理、监理、检测等服务的供应商，不得再参加本项目上述服务以外的其他采购活动，否则其投标将被认定为</w:t>
      </w:r>
      <w:r>
        <w:rPr>
          <w:rFonts w:hint="eastAsia" w:ascii="仿宋_GB2312" w:hAnsi="仿宋" w:eastAsia="仿宋_GB2312" w:cs="仿宋_GB2312"/>
          <w:b/>
          <w:bCs/>
          <w:color w:val="000000" w:themeColor="text1"/>
          <w:sz w:val="24"/>
          <w14:textFill>
            <w14:solidFill>
              <w14:schemeClr w14:val="tx1"/>
            </w14:solidFill>
          </w14:textFill>
        </w:rPr>
        <w:t>投标无效</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240" w:firstLineChars="1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★1.7投标人在投标过程中不得向采购人提供、给予任何有价值的物品，影响其正常决策行为。一经发现，其将被认定为</w:t>
      </w:r>
      <w:r>
        <w:rPr>
          <w:rFonts w:hint="eastAsia" w:ascii="仿宋_GB2312" w:hAnsi="仿宋" w:eastAsia="仿宋_GB2312" w:cs="仿宋_GB2312"/>
          <w:b/>
          <w:bCs/>
          <w:color w:val="000000" w:themeColor="text1"/>
          <w:sz w:val="24"/>
          <w14:textFill>
            <w14:solidFill>
              <w14:schemeClr w14:val="tx1"/>
            </w14:solidFill>
          </w14:textFill>
        </w:rPr>
        <w:t>投标无效</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2.资金来源</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2.1本项目的采购人已获得足以支付本次招标后所签订的合同项下的资金（包括财政性资金和本项目采购中无法与财政性资金分割的非财政性资金）。</w:t>
      </w:r>
    </w:p>
    <w:p>
      <w:pPr>
        <w:adjustRightInd w:val="0"/>
        <w:snapToGrid w:val="0"/>
        <w:spacing w:line="360" w:lineRule="auto"/>
        <w:ind w:firstLine="240" w:firstLineChars="1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★2.2项目预算金额和分项或分包最高限价见投标人须知表2.2条。</w:t>
      </w:r>
    </w:p>
    <w:p>
      <w:pPr>
        <w:adjustRightInd w:val="0"/>
        <w:snapToGrid w:val="0"/>
        <w:spacing w:line="360" w:lineRule="auto"/>
        <w:ind w:firstLine="240" w:firstLineChars="1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★2.3投标人报价超过招标文件规定的预算金额或者分项、分包最高限价的，其投标将被认定为</w:t>
      </w:r>
      <w:r>
        <w:rPr>
          <w:rFonts w:hint="eastAsia" w:ascii="仿宋_GB2312" w:hAnsi="仿宋" w:eastAsia="仿宋_GB2312" w:cs="仿宋_GB2312"/>
          <w:b/>
          <w:bCs/>
          <w:color w:val="000000" w:themeColor="text1"/>
          <w:sz w:val="24"/>
          <w14:textFill>
            <w14:solidFill>
              <w14:schemeClr w14:val="tx1"/>
            </w14:solidFill>
          </w14:textFill>
        </w:rPr>
        <w:t>投标无效</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bookmarkStart w:id="15" w:name="_Toc266951048"/>
      <w:r>
        <w:rPr>
          <w:rFonts w:hint="eastAsia" w:ascii="仿宋_GB2312" w:hAnsi="仿宋" w:eastAsia="仿宋_GB2312" w:cs="仿宋_GB2312"/>
          <w:b/>
          <w:bCs/>
          <w:color w:val="000000" w:themeColor="text1"/>
          <w:sz w:val="24"/>
          <w14:textFill>
            <w14:solidFill>
              <w14:schemeClr w14:val="tx1"/>
            </w14:solidFill>
          </w14:textFill>
        </w:rPr>
        <w:t>3.语言文字</w:t>
      </w:r>
      <w:bookmarkEnd w:id="15"/>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除专用术语外，与投标有关的语言均使用中文。必要时专用术语应附有中文注释。对不同文字文本投标文件的解释发生异议的，以中文文本为准。</w:t>
      </w:r>
    </w:p>
    <w:p>
      <w:pPr>
        <w:adjustRightInd w:val="0"/>
        <w:snapToGrid w:val="0"/>
        <w:spacing w:line="360" w:lineRule="auto"/>
        <w:ind w:firstLine="240" w:firstLineChars="100"/>
        <w:rPr>
          <w:rFonts w:ascii="仿宋_GB2312" w:hAnsi="仿宋" w:eastAsia="仿宋_GB2312" w:cs="仿宋_GB2312"/>
          <w:b/>
          <w:bCs/>
          <w:color w:val="000000" w:themeColor="text1"/>
          <w:sz w:val="24"/>
          <w14:textFill>
            <w14:solidFill>
              <w14:schemeClr w14:val="tx1"/>
            </w14:solidFill>
          </w14:textFill>
        </w:rPr>
      </w:pPr>
      <w:bookmarkStart w:id="16" w:name="_1.8_计量单位"/>
      <w:bookmarkEnd w:id="16"/>
      <w:bookmarkStart w:id="17" w:name="_Toc266951049"/>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4.计量单位</w:t>
      </w:r>
      <w:bookmarkEnd w:id="17"/>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除投标人须知表4条中有特殊要求外，投标文件中所使用的计量单位，应采用中华人民共和国法定计量单位。</w:t>
      </w:r>
    </w:p>
    <w:p>
      <w:pPr>
        <w:adjustRightInd w:val="0"/>
        <w:snapToGrid w:val="0"/>
        <w:spacing w:line="360" w:lineRule="auto"/>
        <w:ind w:firstLine="240" w:firstLineChars="1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5.投标费用</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不论投标的结果如何，投标人应承担所有与投标有关的费用。</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6.现场考察、开标前答疑会</w:t>
      </w:r>
    </w:p>
    <w:p>
      <w:pPr>
        <w:adjustRightInd w:val="0"/>
        <w:snapToGri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bookmarkStart w:id="18" w:name="_1.10_投标预备会"/>
      <w:bookmarkEnd w:id="18"/>
      <w:r>
        <w:rPr>
          <w:rFonts w:hint="eastAsia" w:ascii="仿宋_GB2312" w:hAnsi="仿宋" w:eastAsia="仿宋_GB2312" w:cs="仿宋_GB2312"/>
          <w:color w:val="000000" w:themeColor="text1"/>
          <w:kern w:val="0"/>
          <w:sz w:val="24"/>
          <w14:textFill>
            <w14:solidFill>
              <w14:schemeClr w14:val="tx1"/>
            </w14:solidFill>
          </w14:textFill>
        </w:rPr>
        <w:t>6.1</w:t>
      </w:r>
      <w:r>
        <w:fldChar w:fldCharType="begin"/>
      </w:r>
      <w:r>
        <w:instrText xml:space="preserve"> HYPERLINK \l "_踏勘现场" </w:instrText>
      </w:r>
      <w:r>
        <w:fldChar w:fldCharType="separate"/>
      </w:r>
      <w:r>
        <w:rPr>
          <w:rFonts w:hint="eastAsia" w:ascii="仿宋_GB2312" w:hAnsi="仿宋" w:eastAsia="仿宋_GB2312" w:cs="仿宋_GB2312"/>
          <w:color w:val="000000" w:themeColor="text1"/>
          <w:kern w:val="0"/>
          <w:sz w:val="24"/>
          <w14:textFill>
            <w14:solidFill>
              <w14:schemeClr w14:val="tx1"/>
            </w14:solidFill>
          </w14:textFill>
        </w:rPr>
        <w:t>投标人须知表</w:t>
      </w:r>
      <w:r>
        <w:rPr>
          <w:rFonts w:hint="eastAsia" w:ascii="仿宋_GB2312" w:hAnsi="仿宋" w:eastAsia="仿宋_GB2312" w:cs="仿宋_GB2312"/>
          <w:color w:val="000000" w:themeColor="text1"/>
          <w:kern w:val="0"/>
          <w:sz w:val="24"/>
          <w14:textFill>
            <w14:solidFill>
              <w14:schemeClr w14:val="tx1"/>
            </w14:solidFill>
          </w14:textFill>
        </w:rPr>
        <w:fldChar w:fldCharType="end"/>
      </w:r>
      <w:r>
        <w:rPr>
          <w:rFonts w:hint="eastAsia" w:ascii="仿宋_GB2312" w:hAnsi="仿宋" w:eastAsia="仿宋_GB2312" w:cs="仿宋_GB2312"/>
          <w:color w:val="000000" w:themeColor="text1"/>
          <w:kern w:val="0"/>
          <w:sz w:val="24"/>
          <w14:textFill>
            <w14:solidFill>
              <w14:schemeClr w14:val="tx1"/>
            </w14:solidFill>
          </w14:textFill>
        </w:rPr>
        <w:t>6.1条规定组织现场考察或开标前答疑会的，采购人按规定的时间、地点组织投标人现场考察或开标前答疑会，或者在领取招标文件期限截止后以书面形式通知所有获取招标文件的潜在投标人。</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6.2</w:t>
      </w:r>
      <w:r>
        <w:rPr>
          <w:rFonts w:hint="eastAsia" w:ascii="仿宋_GB2312" w:hAnsi="仿宋" w:eastAsia="仿宋_GB2312" w:cs="仿宋_GB2312"/>
          <w:color w:val="000000" w:themeColor="text1"/>
          <w:kern w:val="0"/>
          <w:sz w:val="24"/>
          <w14:textFill>
            <w14:solidFill>
              <w14:schemeClr w14:val="tx1"/>
            </w14:solidFill>
          </w14:textFill>
        </w:rPr>
        <w:t>由于未参加现场考察或标前答疑而导致对项目实际情况不了解，影响技术文件编制、</w:t>
      </w:r>
      <w:r>
        <w:fldChar w:fldCharType="begin"/>
      </w:r>
      <w: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fldChar w:fldCharType="separate"/>
      </w:r>
      <w:r>
        <w:rPr>
          <w:rFonts w:hint="eastAsia" w:ascii="仿宋_GB2312" w:hAnsi="仿宋" w:eastAsia="仿宋_GB2312" w:cs="仿宋_GB2312"/>
          <w:color w:val="000000" w:themeColor="text1"/>
          <w:kern w:val="0"/>
          <w:sz w:val="24"/>
          <w14:textFill>
            <w14:solidFill>
              <w14:schemeClr w14:val="tx1"/>
            </w14:solidFill>
          </w14:textFill>
        </w:rPr>
        <w:t>投标报价</w:t>
      </w:r>
      <w:r>
        <w:rPr>
          <w:rFonts w:hint="eastAsia" w:ascii="仿宋_GB2312" w:hAnsi="仿宋" w:eastAsia="仿宋_GB2312" w:cs="仿宋_GB2312"/>
          <w:color w:val="000000" w:themeColor="text1"/>
          <w:kern w:val="0"/>
          <w:sz w:val="24"/>
          <w14:textFill>
            <w14:solidFill>
              <w14:schemeClr w14:val="tx1"/>
            </w14:solidFill>
          </w14:textFill>
        </w:rPr>
        <w:fldChar w:fldCharType="end"/>
      </w:r>
      <w:r>
        <w:rPr>
          <w:rFonts w:hint="eastAsia" w:ascii="仿宋_GB2312" w:hAnsi="仿宋" w:eastAsia="仿宋_GB2312" w:cs="仿宋_GB2312"/>
          <w:color w:val="000000" w:themeColor="text1"/>
          <w:kern w:val="0"/>
          <w:sz w:val="24"/>
          <w14:textFill>
            <w14:solidFill>
              <w14:schemeClr w14:val="tx1"/>
            </w14:solidFill>
          </w14:textFill>
        </w:rPr>
        <w:t>准确性、综合因素响应不全面等问题的，由投标人自行承担相应后果。</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6.3现场考察及参加标前答疑会所发生的费用及一切责任由投标人自行承担。</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7.适用法律</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本项目的采购人、采购组织机构、投标人、评标委员会的相关行为均受《中华人民共和国政府采购法》、《中华人民共和国政府采购法实施条例》、《政府采购货物和服务招标投标管理办法》及本项目本级和上级财政部门关于政府采购有关规定的约束，其权利受到上述法律法规的保护。</w:t>
      </w:r>
    </w:p>
    <w:p>
      <w:pPr>
        <w:pStyle w:val="3"/>
        <w:adjustRightInd w:val="0"/>
        <w:snapToGrid w:val="0"/>
        <w:spacing w:before="0" w:after="0" w:line="360" w:lineRule="auto"/>
        <w:rPr>
          <w:rFonts w:ascii="楷体_GB2312" w:hAnsi="仿宋" w:eastAsia="楷体_GB2312" w:cs="仿宋_GB2312"/>
          <w:color w:val="000000" w:themeColor="text1"/>
          <w:sz w:val="32"/>
          <w:szCs w:val="36"/>
          <w14:textFill>
            <w14:solidFill>
              <w14:schemeClr w14:val="tx1"/>
            </w14:solidFill>
          </w14:textFill>
        </w:rPr>
      </w:pPr>
      <w:bookmarkStart w:id="19" w:name="_Toc10106_WPSOffice_Level2"/>
      <w:r>
        <w:rPr>
          <w:rFonts w:hint="eastAsia" w:ascii="楷体_GB2312" w:hAnsi="仿宋" w:eastAsia="楷体_GB2312" w:cs="仿宋_GB2312"/>
          <w:color w:val="000000" w:themeColor="text1"/>
          <w:sz w:val="32"/>
          <w:szCs w:val="36"/>
          <w14:textFill>
            <w14:solidFill>
              <w14:schemeClr w14:val="tx1"/>
            </w14:solidFill>
          </w14:textFill>
        </w:rPr>
        <w:t>三 招标文件</w:t>
      </w:r>
      <w:bookmarkEnd w:id="19"/>
    </w:p>
    <w:p>
      <w:pPr>
        <w:tabs>
          <w:tab w:val="left" w:pos="312"/>
        </w:tabs>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8.招标文件构成</w:t>
      </w:r>
    </w:p>
    <w:p>
      <w:pPr>
        <w:tabs>
          <w:tab w:val="left" w:pos="312"/>
        </w:tabs>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8.1招标文件内容如下:</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招标</w:t>
      </w:r>
      <w:r>
        <w:rPr>
          <w:rFonts w:hint="eastAsia" w:ascii="仿宋_GB2312" w:hAnsi="仿宋" w:eastAsia="仿宋_GB2312" w:cs="仿宋_GB2312"/>
          <w:color w:val="000000" w:themeColor="text1"/>
          <w:sz w:val="24"/>
          <w14:textFill>
            <w14:solidFill>
              <w14:schemeClr w14:val="tx1"/>
            </w14:solidFill>
          </w14:textFill>
        </w:rPr>
        <w:t>公告</w:t>
      </w:r>
    </w:p>
    <w:p>
      <w:pPr>
        <w:numPr>
          <w:ilvl w:val="0"/>
          <w:numId w:val="4"/>
        </w:num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bookmarkStart w:id="20" w:name="_Toc24604_WPSOffice_Level2"/>
      <w:bookmarkStart w:id="21" w:name="_Toc4961_WPSOffice_Level2"/>
      <w:bookmarkStart w:id="22" w:name="_Toc25935_WPSOffice_Level2"/>
      <w:bookmarkStart w:id="23" w:name="_Toc188_WPSOffice_Level2"/>
      <w:r>
        <w:rPr>
          <w:rFonts w:hint="eastAsia" w:ascii="仿宋_GB2312" w:hAnsi="仿宋" w:eastAsia="仿宋_GB2312" w:cs="仿宋_GB2312"/>
          <w:color w:val="000000" w:themeColor="text1"/>
          <w:sz w:val="24"/>
          <w14:textFill>
            <w14:solidFill>
              <w14:schemeClr w14:val="tx1"/>
            </w14:solidFill>
          </w14:textFill>
        </w:rPr>
        <w:t>投标人须知</w:t>
      </w:r>
      <w:bookmarkEnd w:id="20"/>
      <w:bookmarkEnd w:id="21"/>
      <w:bookmarkEnd w:id="22"/>
      <w:bookmarkEnd w:id="23"/>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bookmarkStart w:id="24" w:name="_Toc2443_WPSOffice_Level2"/>
      <w:bookmarkStart w:id="25" w:name="_Toc32235_WPSOffice_Level2"/>
      <w:bookmarkStart w:id="26" w:name="_Toc13276_WPSOffice_Level2"/>
      <w:bookmarkStart w:id="27" w:name="_Toc31424_WPSOffice_Level2"/>
      <w:r>
        <w:rPr>
          <w:rFonts w:hint="eastAsia" w:ascii="仿宋_GB2312" w:hAnsi="仿宋" w:eastAsia="仿宋_GB2312" w:cs="仿宋_GB2312"/>
          <w:color w:val="000000" w:themeColor="text1"/>
          <w:sz w:val="24"/>
          <w14:textFill>
            <w14:solidFill>
              <w14:schemeClr w14:val="tx1"/>
            </w14:solidFill>
          </w14:textFill>
        </w:rPr>
        <w:t>第二章 投标文件内容及格式</w:t>
      </w:r>
      <w:bookmarkEnd w:id="24"/>
      <w:bookmarkEnd w:id="25"/>
      <w:bookmarkEnd w:id="26"/>
      <w:bookmarkEnd w:id="27"/>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bookmarkStart w:id="28" w:name="_Toc16269_WPSOffice_Level2"/>
      <w:bookmarkStart w:id="29" w:name="_Toc7005_WPSOffice_Level2"/>
      <w:bookmarkStart w:id="30" w:name="_Toc24836_WPSOffice_Level2"/>
      <w:bookmarkStart w:id="31" w:name="_Toc4416_WPSOffice_Level2"/>
      <w:r>
        <w:rPr>
          <w:rFonts w:hint="eastAsia" w:ascii="仿宋_GB2312" w:hAnsi="仿宋" w:eastAsia="仿宋_GB2312" w:cs="仿宋_GB2312"/>
          <w:color w:val="000000" w:themeColor="text1"/>
          <w:sz w:val="24"/>
          <w14:textFill>
            <w14:solidFill>
              <w14:schemeClr w14:val="tx1"/>
            </w14:solidFill>
          </w14:textFill>
        </w:rPr>
        <w:t>第三章 服务需求</w:t>
      </w:r>
      <w:bookmarkEnd w:id="28"/>
      <w:bookmarkEnd w:id="29"/>
      <w:bookmarkEnd w:id="30"/>
      <w:bookmarkEnd w:id="31"/>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bookmarkStart w:id="32" w:name="_Toc23459_WPSOffice_Level2"/>
      <w:bookmarkStart w:id="33" w:name="_Toc25382_WPSOffice_Level2"/>
      <w:bookmarkStart w:id="34" w:name="_Toc16294_WPSOffice_Level2"/>
      <w:bookmarkStart w:id="35" w:name="_Toc16119_WPSOffice_Level2"/>
      <w:r>
        <w:rPr>
          <w:rFonts w:hint="eastAsia" w:ascii="仿宋_GB2312" w:hAnsi="仿宋" w:eastAsia="仿宋_GB2312" w:cs="仿宋_GB2312"/>
          <w:color w:val="000000" w:themeColor="text1"/>
          <w:sz w:val="24"/>
          <w14:textFill>
            <w14:solidFill>
              <w14:schemeClr w14:val="tx1"/>
            </w14:solidFill>
          </w14:textFill>
        </w:rPr>
        <w:t>第四章 评标方法</w:t>
      </w:r>
      <w:bookmarkEnd w:id="32"/>
      <w:bookmarkEnd w:id="33"/>
      <w:bookmarkEnd w:id="34"/>
      <w:bookmarkEnd w:id="35"/>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bookmarkStart w:id="36" w:name="_Toc16368_WPSOffice_Level2"/>
      <w:bookmarkStart w:id="37" w:name="_Toc17794_WPSOffice_Level2"/>
      <w:bookmarkStart w:id="38" w:name="_Toc9629_WPSOffice_Level2"/>
      <w:bookmarkStart w:id="39" w:name="_Toc28106_WPSOffice_Level2"/>
      <w:r>
        <w:rPr>
          <w:rFonts w:hint="eastAsia" w:ascii="仿宋_GB2312" w:hAnsi="仿宋" w:eastAsia="仿宋_GB2312" w:cs="仿宋_GB2312"/>
          <w:color w:val="000000" w:themeColor="text1"/>
          <w:sz w:val="24"/>
          <w14:textFill>
            <w14:solidFill>
              <w14:schemeClr w14:val="tx1"/>
            </w14:solidFill>
          </w14:textFill>
        </w:rPr>
        <w:t>第五章 政府采购合同条款及格式</w:t>
      </w:r>
      <w:bookmarkEnd w:id="36"/>
      <w:bookmarkEnd w:id="37"/>
      <w:bookmarkEnd w:id="38"/>
      <w:bookmarkEnd w:id="39"/>
    </w:p>
    <w:p>
      <w:pPr>
        <w:adjustRightInd w:val="0"/>
        <w:snapToGrid w:val="0"/>
        <w:spacing w:line="360" w:lineRule="auto"/>
        <w:ind w:firstLine="240" w:firstLineChars="1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★8.2投标人应认真阅读招标文件所有的事项、格式、条款等。如投标人没有按照招标文件要求提交资料，或者投标文件没有对招标文件做出实质性响应，可能导致其投标被认定为</w:t>
      </w:r>
      <w:r>
        <w:rPr>
          <w:rFonts w:hint="eastAsia" w:ascii="仿宋_GB2312" w:hAnsi="仿宋" w:eastAsia="仿宋_GB2312" w:cs="仿宋_GB2312"/>
          <w:b/>
          <w:bCs/>
          <w:color w:val="000000" w:themeColor="text1"/>
          <w:sz w:val="24"/>
          <w14:textFill>
            <w14:solidFill>
              <w14:schemeClr w14:val="tx1"/>
            </w14:solidFill>
          </w14:textFill>
        </w:rPr>
        <w:t>投标无效</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9.招标文件的澄清与修改</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9.1采购人或者采购组织机构可以对已发出的招标文件进行澄清或者修改。澄清或者修改的内容可能影响投标文件编制的，应当在投标截止时间至少15日前，在原公告发布媒体上发布变更公告，并以书面形式通知所有获取招标文件的潜在投标人（即采购人将澄清文件内容在发布招标公告的网络媒介统一公布，投标人自行查阅，如因投标人未及时查阅造成的一切投标风险均由投标人自行承担。)；不足15日的，采购人或者采购组织机构应当顺延提交投标文件的截止时间。</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9.2澄清或者修改的内容为招标文件的组成部分，对所有招标文件的收受人具有约束力。投标人在收到上述通知后，应及时向采购组织机构回函确认。</w:t>
      </w:r>
    </w:p>
    <w:p>
      <w:pPr>
        <w:pStyle w:val="3"/>
        <w:adjustRightInd w:val="0"/>
        <w:snapToGrid w:val="0"/>
        <w:spacing w:before="0" w:after="0" w:line="360" w:lineRule="auto"/>
        <w:rPr>
          <w:rFonts w:ascii="楷体_GB2312" w:hAnsi="仿宋" w:eastAsia="楷体_GB2312" w:cs="仿宋_GB2312"/>
          <w:color w:val="000000" w:themeColor="text1"/>
          <w:sz w:val="32"/>
          <w:szCs w:val="36"/>
          <w14:textFill>
            <w14:solidFill>
              <w14:schemeClr w14:val="tx1"/>
            </w14:solidFill>
          </w14:textFill>
        </w:rPr>
      </w:pPr>
      <w:bookmarkStart w:id="40" w:name="_Toc7415_WPSOffice_Level2"/>
      <w:r>
        <w:rPr>
          <w:rFonts w:hint="eastAsia" w:ascii="楷体_GB2312" w:hAnsi="仿宋" w:eastAsia="楷体_GB2312" w:cs="仿宋_GB2312"/>
          <w:color w:val="000000" w:themeColor="text1"/>
          <w:sz w:val="32"/>
          <w:szCs w:val="36"/>
          <w14:textFill>
            <w14:solidFill>
              <w14:schemeClr w14:val="tx1"/>
            </w14:solidFill>
          </w14:textFill>
        </w:rPr>
        <w:t>四 投标文件的编制</w:t>
      </w:r>
      <w:bookmarkEnd w:id="40"/>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10.投标范围</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10.1项目有分包的，投标人可对招标文件其中某一个分包或几个分包进行投标。</w:t>
      </w:r>
    </w:p>
    <w:p>
      <w:pPr>
        <w:adjustRightInd w:val="0"/>
        <w:snapToGrid w:val="0"/>
        <w:spacing w:line="360" w:lineRule="auto"/>
        <w:ind w:firstLine="240" w:firstLineChars="1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★10.2投标人应当对所投分包在招标文件“服务需求”中所列的所有服务内容进行投标，如仅响应分包中某一部分内容，其该包投标将被认定为</w:t>
      </w:r>
      <w:r>
        <w:rPr>
          <w:rFonts w:hint="eastAsia" w:ascii="仿宋_GB2312" w:hAnsi="仿宋" w:eastAsia="仿宋_GB2312" w:cs="仿宋_GB2312"/>
          <w:b/>
          <w:bCs/>
          <w:color w:val="000000" w:themeColor="text1"/>
          <w:sz w:val="24"/>
          <w14:textFill>
            <w14:solidFill>
              <w14:schemeClr w14:val="tx1"/>
            </w14:solidFill>
          </w14:textFill>
        </w:rPr>
        <w:t>投标无效</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10.3无论招标文件第三章 服务需求中是否要求，投标人所投的服务均应符合国家强制性标准。</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11.投标文件构成</w:t>
      </w:r>
    </w:p>
    <w:p>
      <w:pPr>
        <w:adjustRightInd w:val="0"/>
        <w:snapToGrid w:val="0"/>
        <w:spacing w:line="360" w:lineRule="auto"/>
        <w:ind w:firstLine="240" w:firstLineChars="1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★11.1投标人应完整地按招标文件提供的投标文件格式及要求编写投标文件。投标文件应包括资格性证明文件、符合性证明文件、其它材料三部分。具体见第二章 投标文件内容及格式。</w:t>
      </w:r>
    </w:p>
    <w:p>
      <w:pPr>
        <w:adjustRightInd w:val="0"/>
        <w:snapToGrid w:val="0"/>
        <w:spacing w:line="360" w:lineRule="auto"/>
        <w:ind w:firstLine="240" w:firstLineChars="1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★11.2投标人应按招标文件提供的格式编写投标文件。招标文件提供标准格式的按标准格式填列，未提供标准格式的可自行拟定。</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11.3样品或演示要求详见投标人须知表11.3条。</w:t>
      </w:r>
    </w:p>
    <w:p>
      <w:pPr>
        <w:adjustRightInd w:val="0"/>
        <w:snapToGrid w:val="0"/>
        <w:spacing w:line="360" w:lineRule="auto"/>
        <w:ind w:firstLine="240" w:firstLineChars="1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12.投标报价</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12.1所有投标均按投标人须知表12.1条中要求货币进行报价。投标人的投标报价应遵守《中华人民共和国价格法》。同时，根据《中华人民共和国政府采购法》第三条的规定，为保证公平竞争，如有服务主体部分的赠与行为，其投标将被认定为</w:t>
      </w:r>
      <w:r>
        <w:rPr>
          <w:rFonts w:hint="eastAsia" w:ascii="仿宋_GB2312" w:hAnsi="仿宋" w:eastAsia="仿宋_GB2312" w:cs="仿宋_GB2312"/>
          <w:b/>
          <w:bCs/>
          <w:color w:val="000000" w:themeColor="text1"/>
          <w:sz w:val="24"/>
          <w14:textFill>
            <w14:solidFill>
              <w14:schemeClr w14:val="tx1"/>
            </w14:solidFill>
          </w14:textFill>
        </w:rPr>
        <w:t>投标无效</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12.2投标人应按招标文件要求在相关表格中标明投标服务及伴随货物的单价和总价，并由法定代表人（非法人组织的负责人）或其委托代理人签署。</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12.3投标人所报的各分项投标单价在合同履行过程中是固定不变的，不得以任何理由予以变更。任何包含价格调整要求的投标，其投标将被认定为</w:t>
      </w:r>
      <w:r>
        <w:rPr>
          <w:rFonts w:hint="eastAsia" w:ascii="仿宋_GB2312" w:hAnsi="仿宋" w:eastAsia="仿宋_GB2312" w:cs="仿宋_GB2312"/>
          <w:b/>
          <w:bCs/>
          <w:color w:val="000000" w:themeColor="text1"/>
          <w:sz w:val="24"/>
          <w14:textFill>
            <w14:solidFill>
              <w14:schemeClr w14:val="tx1"/>
            </w14:solidFill>
          </w14:textFill>
        </w:rPr>
        <w:t>投标无效。</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12.4每种服务只能有一个投标报价。采购人不接受具有附加条件的报价。</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bookmarkStart w:id="41" w:name="_Toc22507_WPSOffice_Level2"/>
      <w:bookmarkStart w:id="42" w:name="_Toc31973_WPSOffice_Level2"/>
      <w:r>
        <w:rPr>
          <w:rFonts w:hint="eastAsia" w:ascii="仿宋_GB2312" w:hAnsi="仿宋" w:eastAsia="仿宋_GB2312" w:cs="仿宋_GB2312"/>
          <w:color w:val="000000" w:themeColor="text1"/>
          <w:sz w:val="24"/>
          <w14:textFill>
            <w14:solidFill>
              <w14:schemeClr w14:val="tx1"/>
            </w14:solidFill>
          </w14:textFill>
        </w:rPr>
        <w:t>12.5除非招标文件另有规定，报价原则上精确到小数点后两位。</w:t>
      </w:r>
      <w:bookmarkEnd w:id="41"/>
      <w:bookmarkEnd w:id="42"/>
    </w:p>
    <w:p>
      <w:pPr>
        <w:adjustRightInd w:val="0"/>
        <w:snapToGrid w:val="0"/>
        <w:spacing w:line="360" w:lineRule="auto"/>
        <w:ind w:firstLine="240" w:firstLineChars="1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★13.投标保证金</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13.1投标人应提交投标人须知表13.1条中规定的投标保证金，并作为其投标的一部分。</w:t>
      </w:r>
    </w:p>
    <w:p>
      <w:pPr>
        <w:adjustRightInd w:val="0"/>
        <w:snapToGrid w:val="0"/>
        <w:spacing w:line="360" w:lineRule="auto"/>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13.2投标保证金缴纳人、招标文件领取人、投标登记人和投标人必须为同一组织机构或联合体内不同成员单位，否则将视同未按招标文件规定交纳投标保证金。</w:t>
      </w:r>
    </w:p>
    <w:p>
      <w:pPr>
        <w:adjustRightInd w:val="0"/>
        <w:snapToGrid w:val="0"/>
        <w:spacing w:line="360" w:lineRule="auto"/>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13.3投标人存在下列情形的，投标保证金不予退还:</w:t>
      </w:r>
    </w:p>
    <w:p>
      <w:pPr>
        <w:adjustRightInd w:val="0"/>
        <w:snapToGrid w:val="0"/>
        <w:spacing w:line="360" w:lineRule="auto"/>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（1）在投标有效期内，投标人撤销投标的;</w:t>
      </w:r>
    </w:p>
    <w:p>
      <w:pPr>
        <w:adjustRightInd w:val="0"/>
        <w:snapToGrid w:val="0"/>
        <w:spacing w:line="360" w:lineRule="auto"/>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（2）中标后不按本须知第34条的规定与采购人签订合同的;</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（3）中标后不按本须知第35条的规定提交履约保证金的;</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（4）中标后不按本须知第36条的规定缴纳采购代理服务费的;</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（5）存在其他违法违规行为的。</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13.4联合体投标的，可以由联合体中的一方或者共同提交投标保证金。以一方名义提交投标保证金的，对联合体各方均具有约束力。</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13.5投标保证金的退还</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13.5.1中标人应在与采购人签订合同之日起5个工作日内，及时联系保证金收受机构办理投标保证金退还手续。</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13.5.2未中标投标人的投标保证金将在中标通知书发出之日暨中标结果公告公布之日起5个工作日内无息退还。投标人应及时联系保证金收受机构办理退还投标保证金手续。</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13.5.3投标人在投标截止时间前撤回已提交的投标文件的，投标人应自采购人或者采购组织机构收到投标人书面撤回通知之日起５个工作日内，及时联系保证金收受机构办理投标保证金退还手续。</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13.5.4政府采购投标担保函不予退回。</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13.6因投标人自身原因导致无法及时退还的，采购人或采购组织机构将不承担相应责任。</w:t>
      </w:r>
    </w:p>
    <w:p>
      <w:pPr>
        <w:adjustRightInd w:val="0"/>
        <w:snapToGrid w:val="0"/>
        <w:spacing w:line="360" w:lineRule="auto"/>
        <w:ind w:firstLine="240" w:firstLineChars="1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14.证明投标标的的合格性和符合招标文件规定的技术文件</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14.1投标人应提交证明文件，证明其投标内容符合招标文件规定。该证明文件是投标文件的一部分。</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14.2上条所述的证明文件，可以是文字资料、图纸和数据。</w:t>
      </w:r>
    </w:p>
    <w:p>
      <w:pPr>
        <w:adjustRightInd w:val="0"/>
        <w:snapToGrid w:val="0"/>
        <w:spacing w:line="360" w:lineRule="auto"/>
        <w:ind w:firstLine="240" w:firstLineChars="1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15.投标有效期</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15.1投标应在投标人须知表15.1条中规定的投标有效期内保持有效。投标有效期不满足要求的投标，其投标将被认定为</w:t>
      </w:r>
      <w:r>
        <w:rPr>
          <w:rFonts w:hint="eastAsia" w:ascii="仿宋_GB2312" w:hAnsi="仿宋" w:eastAsia="仿宋_GB2312" w:cs="仿宋_GB2312"/>
          <w:b/>
          <w:bCs/>
          <w:color w:val="000000" w:themeColor="text1"/>
          <w:sz w:val="24"/>
          <w14:textFill>
            <w14:solidFill>
              <w14:schemeClr w14:val="tx1"/>
            </w14:solidFill>
          </w14:textFill>
        </w:rPr>
        <w:t>投标无效</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15.2在特殊情况下，采购人或采购组织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16.投标文件的签署及规定（适用于中标后递交纸质文件）</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16.1投标人应按投标人须知表16.1款中的规定，准备和递交投标文件正本、副本和电子文档。</w:t>
      </w:r>
    </w:p>
    <w:p>
      <w:pPr>
        <w:adjustRightInd w:val="0"/>
        <w:snapToGrid w:val="0"/>
        <w:spacing w:line="360" w:lineRule="auto"/>
        <w:ind w:firstLine="240" w:firstLineChars="1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★16.2每份投标文件封皮须清楚地标明“正本”或“副本”。若正本和副本不符，以正本为准。</w:t>
      </w:r>
    </w:p>
    <w:p>
      <w:pPr>
        <w:adjustRightInd w:val="0"/>
        <w:snapToGrid w:val="0"/>
        <w:spacing w:line="360" w:lineRule="auto"/>
        <w:ind w:firstLine="240" w:firstLineChars="1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16.3投标文件的正本需打印或用不褪色墨水书写，并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投标文件的副本可采用正本的复印件。</w:t>
      </w:r>
    </w:p>
    <w:p>
      <w:pPr>
        <w:pStyle w:val="3"/>
        <w:adjustRightInd w:val="0"/>
        <w:snapToGrid w:val="0"/>
        <w:spacing w:before="0" w:after="0" w:line="360" w:lineRule="auto"/>
        <w:rPr>
          <w:rFonts w:ascii="楷体_GB2312" w:hAnsi="仿宋" w:eastAsia="楷体_GB2312" w:cs="仿宋_GB2312"/>
          <w:color w:val="000000" w:themeColor="text1"/>
          <w:sz w:val="32"/>
          <w:szCs w:val="36"/>
          <w14:textFill>
            <w14:solidFill>
              <w14:schemeClr w14:val="tx1"/>
            </w14:solidFill>
          </w14:textFill>
        </w:rPr>
      </w:pPr>
      <w:bookmarkStart w:id="43" w:name="_Toc27725_WPSOffice_Level2"/>
      <w:r>
        <w:rPr>
          <w:rFonts w:hint="eastAsia" w:ascii="楷体_GB2312" w:hAnsi="仿宋" w:eastAsia="楷体_GB2312" w:cs="仿宋_GB2312"/>
          <w:color w:val="000000" w:themeColor="text1"/>
          <w:sz w:val="32"/>
          <w:szCs w:val="36"/>
          <w14:textFill>
            <w14:solidFill>
              <w14:schemeClr w14:val="tx1"/>
            </w14:solidFill>
          </w14:textFill>
        </w:rPr>
        <w:t>五 投标文件的递交</w:t>
      </w:r>
      <w:bookmarkEnd w:id="43"/>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17.投标文件的密封和标记</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17.1投标人应对现场递交U盘形式存储的电子投标文件进行密封包封。</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17.2 包装封皮上应：</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（1）注明项目名称、项目编号、包号、投标人名称。</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（2）加盖投标人单位公章。</w:t>
      </w:r>
    </w:p>
    <w:p>
      <w:pPr>
        <w:adjustRightInd w:val="0"/>
        <w:snapToGrid w:val="0"/>
        <w:spacing w:line="360" w:lineRule="auto"/>
        <w:ind w:firstLine="240" w:firstLineChars="1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18.投标截止</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18.1投标人应在投标人须知表18.1中规定的递交投标文件截止时间前，将投标文件递交到投标人须知表18.1中规定的地点。</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18.2采购人和采购组织机构有权按本须知的规定，延迟投标截止时间。在此情况下，采购人、采购组织机构和投标人受投标截止时间制约的所有权利和义务均应延长至新的截止时间。</w:t>
      </w:r>
    </w:p>
    <w:p>
      <w:pPr>
        <w:adjustRightInd w:val="0"/>
        <w:snapToGrid w:val="0"/>
        <w:spacing w:line="360" w:lineRule="auto"/>
        <w:ind w:firstLine="240" w:firstLineChars="1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19.投标文件的接收、修改与撤回</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19.1在投标截止时间后送达的投标文件，采购人和采购组织机构将</w:t>
      </w:r>
      <w:r>
        <w:rPr>
          <w:rFonts w:hint="eastAsia" w:ascii="仿宋_GB2312" w:hAnsi="仿宋" w:eastAsia="仿宋_GB2312" w:cs="仿宋_GB2312"/>
          <w:b/>
          <w:bCs/>
          <w:color w:val="000000" w:themeColor="text1"/>
          <w:sz w:val="24"/>
          <w14:textFill>
            <w14:solidFill>
              <w14:schemeClr w14:val="tx1"/>
            </w14:solidFill>
          </w14:textFill>
        </w:rPr>
        <w:t>拒绝接收</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19.2采购人或者采购组织机构收到投标文件后，应当如实记载投标文件的送达时间和密封情况，并向投标人出具以下签收回执。</w:t>
      </w:r>
    </w:p>
    <w:p>
      <w:pPr>
        <w:adjustRightInd w:val="0"/>
        <w:snapToGrid w:val="0"/>
        <w:spacing w:line="360" w:lineRule="auto"/>
        <w:jc w:val="center"/>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接收投标文件回执单（不适用）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6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39" w:type="dxa"/>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项目编号</w:t>
            </w:r>
          </w:p>
        </w:tc>
        <w:tc>
          <w:tcPr>
            <w:tcW w:w="6366" w:type="dxa"/>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39" w:type="dxa"/>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项目名称</w:t>
            </w:r>
          </w:p>
        </w:tc>
        <w:tc>
          <w:tcPr>
            <w:tcW w:w="6366" w:type="dxa"/>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39" w:type="dxa"/>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投标人名称</w:t>
            </w:r>
          </w:p>
        </w:tc>
        <w:tc>
          <w:tcPr>
            <w:tcW w:w="6366" w:type="dxa"/>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39" w:type="dxa"/>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递交时间</w:t>
            </w:r>
          </w:p>
        </w:tc>
        <w:tc>
          <w:tcPr>
            <w:tcW w:w="6366" w:type="dxa"/>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39" w:type="dxa"/>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接收单位</w:t>
            </w:r>
          </w:p>
        </w:tc>
        <w:tc>
          <w:tcPr>
            <w:tcW w:w="6366" w:type="dxa"/>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9" w:type="dxa"/>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接收人签字</w:t>
            </w:r>
          </w:p>
        </w:tc>
        <w:tc>
          <w:tcPr>
            <w:tcW w:w="6366" w:type="dxa"/>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p>
        </w:tc>
      </w:tr>
    </w:tbl>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19.3递交投标文件以后，如果投标人要进行修改或撤回投标，须提出书面申请并在投标截止时间前送达开标地点，投标人对投标文件的修改或撤回通知应按本须知规定编制、密封、标记。采购人和采购组织机构将予以接收，并视为投标文件的组成部分。否则，修改后的投标文件或撤回行为无效。</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19.4在投标截止时间之后，投标人不得对其投标文件做任何修改。</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19.5 采购人和采购组织机构对所接收并当众宣读投标内容的投标文件概不退回。</w:t>
      </w:r>
    </w:p>
    <w:p>
      <w:pPr>
        <w:pStyle w:val="3"/>
        <w:adjustRightInd w:val="0"/>
        <w:snapToGrid w:val="0"/>
        <w:spacing w:before="0" w:after="0" w:line="360" w:lineRule="auto"/>
        <w:rPr>
          <w:rFonts w:ascii="楷体_GB2312" w:hAnsi="仿宋" w:eastAsia="楷体_GB2312" w:cs="仿宋_GB2312"/>
          <w:color w:val="000000" w:themeColor="text1"/>
          <w:sz w:val="32"/>
          <w:szCs w:val="36"/>
          <w14:textFill>
            <w14:solidFill>
              <w14:schemeClr w14:val="tx1"/>
            </w14:solidFill>
          </w14:textFill>
        </w:rPr>
      </w:pPr>
      <w:bookmarkStart w:id="44" w:name="_Toc988_WPSOffice_Level2"/>
      <w:bookmarkStart w:id="45" w:name="_Toc4544_WPSOffice_Level2"/>
      <w:r>
        <w:rPr>
          <w:rFonts w:hint="eastAsia" w:ascii="楷体_GB2312" w:hAnsi="仿宋" w:eastAsia="楷体_GB2312" w:cs="仿宋_GB2312"/>
          <w:color w:val="000000" w:themeColor="text1"/>
          <w:sz w:val="32"/>
          <w:szCs w:val="36"/>
          <w14:textFill>
            <w14:solidFill>
              <w14:schemeClr w14:val="tx1"/>
            </w14:solidFill>
          </w14:textFill>
        </w:rPr>
        <w:t>六 开标及评标</w:t>
      </w:r>
      <w:bookmarkEnd w:id="44"/>
    </w:p>
    <w:p>
      <w:pPr>
        <w:adjustRightInd w:val="0"/>
        <w:snapToGrid w:val="0"/>
        <w:spacing w:line="360" w:lineRule="auto"/>
        <w:ind w:firstLine="240" w:firstLineChars="1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20.开标</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20.1采购人和采购组织机构将按投标人须知表20.1条中规定的开标时间和地点组织公开开标并邀请所有投标人代表参加。</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投标人不足 3 家的，不得开标。评标委员会成员不得参加开标活动。</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20.2开标时，由投标人或其推选的代表检查投标文件的密封情况，经记录后，由采购人或采购组织机构当众拆封投标文件，宣读投标人名称、投标价格及招标文件规定的内容。对于投标人在投标截止时间前递交的投标声明，在开标时当众宣读，评标时有效。</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未宣读投标价格、价格折扣等实质内容，评标时不予承认。</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20.3采购人或采购组织机构将对开标过程进行记录，由参加开标的各投标人代表和相关工作人员签字确认，并存档备查。投标人未参加开标或未签字确认的，视同认可开标结果。</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20.4投标人代表对开标过程和开标记录有疑义，以及认为采购人、采购组织机构相关工作人员有需要回避的情形的，应当场提出询问或者回避申请。</w:t>
      </w:r>
    </w:p>
    <w:p>
      <w:pPr>
        <w:adjustRightInd w:val="0"/>
        <w:snapToGrid w:val="0"/>
        <w:spacing w:line="360" w:lineRule="auto"/>
        <w:ind w:firstLine="240" w:firstLineChars="1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21.组建评标委员会</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按照《中华人民共和国政府采购法》、《中华人民共和国政府采购法实施条例》有关规定依法组建评标委员会，负责本项目评标工作。本项目评标委员会组成详见投标人须知表21条。</w:t>
      </w:r>
    </w:p>
    <w:p>
      <w:pPr>
        <w:adjustRightInd w:val="0"/>
        <w:snapToGrid w:val="0"/>
        <w:spacing w:line="360" w:lineRule="auto"/>
        <w:ind w:firstLine="240" w:firstLineChars="1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22.资格性审查</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22.1采购人或采购组织机构依据法律法规和招标文件中规定的内容，对投标人的资格进行审查，投标人应按照第二章《投标文件内容及格式》中的相应要求提交资格性证明材料。未通过资格审查的投标人不能进入评标，其投标将被认定为</w:t>
      </w:r>
      <w:r>
        <w:rPr>
          <w:rFonts w:hint="eastAsia" w:ascii="仿宋_GB2312" w:hAnsi="仿宋" w:eastAsia="仿宋_GB2312" w:cs="仿宋_GB2312"/>
          <w:b/>
          <w:bCs/>
          <w:color w:val="000000" w:themeColor="text1"/>
          <w:sz w:val="24"/>
          <w14:textFill>
            <w14:solidFill>
              <w14:schemeClr w14:val="tx1"/>
            </w14:solidFill>
          </w14:textFill>
        </w:rPr>
        <w:t>投标无效</w:t>
      </w:r>
      <w:r>
        <w:rPr>
          <w:rFonts w:hint="eastAsia" w:ascii="仿宋_GB2312" w:hAnsi="仿宋" w:eastAsia="仿宋_GB2312" w:cs="仿宋_GB2312"/>
          <w:color w:val="000000" w:themeColor="text1"/>
          <w:sz w:val="24"/>
          <w14:textFill>
            <w14:solidFill>
              <w14:schemeClr w14:val="tx1"/>
            </w14:solidFill>
          </w14:textFill>
        </w:rPr>
        <w:t>；通过资格性审查的投标人不足3家的，不得评标。</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22.2采购人或采购组织机构将在递交投标文件截止时间前一个工作日至资格性审查结束前的期间内查询投标人的信用记录。投标人存在不良信用记录的，其投标将被认定为</w:t>
      </w:r>
      <w:r>
        <w:rPr>
          <w:rFonts w:hint="eastAsia" w:ascii="仿宋_GB2312" w:hAnsi="仿宋" w:eastAsia="仿宋_GB2312" w:cs="仿宋_GB2312"/>
          <w:b/>
          <w:bCs/>
          <w:color w:val="000000" w:themeColor="text1"/>
          <w:sz w:val="24"/>
          <w14:textFill>
            <w14:solidFill>
              <w14:schemeClr w14:val="tx1"/>
            </w14:solidFill>
          </w14:textFill>
        </w:rPr>
        <w:t>投标无效</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22.2.1不良信用记录指：投标人在中国政府采购网（www.ccgp.gov.cn）被列入政府采购严重违法失信行为记录名单，或在“信用中国”网站（www.creditchina.gov.cn）</w:t>
      </w:r>
      <w:r>
        <w:rPr>
          <w:rFonts w:hint="eastAsia" w:ascii="仿宋_GB2312" w:hAnsi="仿宋" w:eastAsia="仿宋_GB2312" w:cs="仿宋_GB2312"/>
          <w:color w:val="000000" w:themeColor="text1"/>
          <w:sz w:val="24"/>
          <w:szCs w:val="21"/>
          <w14:textFill>
            <w14:solidFill>
              <w14:schemeClr w14:val="tx1"/>
            </w14:solidFill>
          </w14:textFill>
        </w:rPr>
        <w:t>被列入失信被执行人、异常经营名录、税收违法黑名单、政府采购严重违法失信行为记录名单，</w:t>
      </w:r>
      <w:r>
        <w:rPr>
          <w:rFonts w:hint="eastAsia" w:ascii="仿宋_GB2312" w:hAnsi="仿宋" w:eastAsia="仿宋_GB2312" w:cs="仿宋_GB2312"/>
          <w:color w:val="000000" w:themeColor="text1"/>
          <w:sz w:val="24"/>
          <w14:textFill>
            <w14:solidFill>
              <w14:schemeClr w14:val="tx1"/>
            </w14:solidFill>
          </w14:textFill>
        </w:rPr>
        <w:t>以及存在《中华人民共和国政府采购法实施条例》第十九条规定的行政处罚记录。</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以联合体形式参加投标的，联合体任何成员存在以上不良信用记录的，联合体投标将被认定为</w:t>
      </w:r>
      <w:r>
        <w:rPr>
          <w:rFonts w:hint="eastAsia" w:ascii="仿宋_GB2312" w:hAnsi="仿宋" w:eastAsia="仿宋_GB2312" w:cs="仿宋_GB2312"/>
          <w:b/>
          <w:bCs/>
          <w:color w:val="000000" w:themeColor="text1"/>
          <w:sz w:val="24"/>
          <w14:textFill>
            <w14:solidFill>
              <w14:schemeClr w14:val="tx1"/>
            </w14:solidFill>
          </w14:textFill>
        </w:rPr>
        <w:t>投标无效</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22.2.2 查询及记录方式：采购人或采购组织机构经办人将查询网页打印并存档备查。投标人不良信用记录以采购人或采购组织机构查询结果为准。</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在本招标文件规定的查询时间之后，网站信息发生的任何变更均不再作为评标依据。</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投标人自行提供的与网站信息不一致的其他证明材料亦不作为资格审查依据。</w:t>
      </w:r>
    </w:p>
    <w:p>
      <w:pPr>
        <w:adjustRightInd w:val="0"/>
        <w:snapToGrid w:val="0"/>
        <w:spacing w:line="360" w:lineRule="auto"/>
        <w:ind w:firstLine="240" w:firstLineChars="1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23.符合性审查</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符合性审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w:t>
      </w:r>
      <w:r>
        <w:rPr>
          <w:rFonts w:hint="eastAsia" w:ascii="仿宋_GB2312" w:hAnsi="仿宋" w:eastAsia="仿宋_GB2312" w:cs="仿宋_GB2312"/>
          <w:b/>
          <w:bCs/>
          <w:color w:val="000000" w:themeColor="text1"/>
          <w:sz w:val="24"/>
          <w14:textFill>
            <w14:solidFill>
              <w14:schemeClr w14:val="tx1"/>
            </w14:solidFill>
          </w14:textFill>
        </w:rPr>
        <w:t>投标无效</w:t>
      </w:r>
      <w:r>
        <w:rPr>
          <w:rFonts w:hint="eastAsia" w:ascii="仿宋_GB2312" w:hAnsi="仿宋" w:eastAsia="仿宋_GB2312" w:cs="仿宋_GB2312"/>
          <w:color w:val="000000" w:themeColor="text1"/>
          <w:sz w:val="24"/>
          <w14:textFill>
            <w14:solidFill>
              <w14:schemeClr w14:val="tx1"/>
            </w14:solidFill>
          </w14:textFill>
        </w:rPr>
        <w:t>；通过符合性审查的投标人数量不足3家的，不得作进一步的比较和评价。</w:t>
      </w:r>
    </w:p>
    <w:p>
      <w:pPr>
        <w:adjustRightInd w:val="0"/>
        <w:snapToGrid w:val="0"/>
        <w:spacing w:line="360" w:lineRule="auto"/>
        <w:ind w:firstLine="240" w:firstLineChars="1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24.投标文件的澄清</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24.2投标人的澄清、说明或补正将作为投标文件的一部分。</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24.3投标文件报价出现前后不一致的，按照下列规定修正：</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（1）投标文件中开标一览表内容与投标文件中相应内容不一致的，以开标一览表为准；</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（2）大写金额和小写金额不一致的，以大写金额为准；</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（3）单价金额小数点或者百分比有明显错位的，以开标一览表的总价为准，并修改单价；</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（4）总价金额与按单价汇总金额不一致的，以单价金额计算结果为准。</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同时出现两种以上不一致的，按照前款规定的顺序修正。修正后的报价经投标人确认后产生约束力，投标人不确认的，其投标将被认定为</w:t>
      </w:r>
      <w:r>
        <w:rPr>
          <w:rFonts w:hint="eastAsia" w:ascii="仿宋_GB2312" w:hAnsi="仿宋" w:eastAsia="仿宋_GB2312" w:cs="仿宋_GB2312"/>
          <w:b/>
          <w:bCs/>
          <w:color w:val="000000" w:themeColor="text1"/>
          <w:sz w:val="24"/>
          <w14:textFill>
            <w14:solidFill>
              <w14:schemeClr w14:val="tx1"/>
            </w14:solidFill>
          </w14:textFill>
        </w:rPr>
        <w:t>投标无效</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24.4</w:t>
      </w:r>
      <w:r>
        <w:rPr>
          <w:rFonts w:hint="eastAsia" w:ascii="仿宋_GB2312" w:hAnsi="仿宋" w:eastAsia="仿宋_GB2312" w:cs="仿宋_GB2312"/>
          <w:b/>
          <w:bCs/>
          <w:color w:val="000000" w:themeColor="text1"/>
          <w:sz w:val="24"/>
          <w14:textFill>
            <w14:solidFill>
              <w14:schemeClr w14:val="tx1"/>
            </w14:solidFill>
          </w14:textFill>
        </w:rPr>
        <w:t>评标委员会认为</w:t>
      </w:r>
      <w:r>
        <w:rPr>
          <w:rFonts w:hint="eastAsia" w:ascii="仿宋_GB2312" w:hAnsi="仿宋" w:eastAsia="仿宋_GB2312" w:cs="仿宋_GB2312"/>
          <w:color w:val="000000" w:themeColor="text1"/>
          <w:sz w:val="24"/>
          <w14:textFill>
            <w14:solidFill>
              <w14:schemeClr w14:val="tx1"/>
            </w14:solidFill>
          </w14:textFill>
        </w:rPr>
        <w:t>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w:t>
      </w:r>
      <w:r>
        <w:rPr>
          <w:rFonts w:hint="eastAsia" w:ascii="仿宋_GB2312" w:hAnsi="仿宋" w:eastAsia="仿宋_GB2312" w:cs="仿宋_GB2312"/>
          <w:b/>
          <w:bCs/>
          <w:color w:val="000000" w:themeColor="text1"/>
          <w:sz w:val="24"/>
          <w14:textFill>
            <w14:solidFill>
              <w14:schemeClr w14:val="tx1"/>
            </w14:solidFill>
          </w14:textFill>
        </w:rPr>
        <w:t>无效投标</w:t>
      </w:r>
      <w:r>
        <w:rPr>
          <w:rFonts w:hint="eastAsia" w:ascii="仿宋_GB2312" w:hAnsi="仿宋" w:eastAsia="仿宋_GB2312" w:cs="仿宋_GB2312"/>
          <w:color w:val="000000" w:themeColor="text1"/>
          <w:sz w:val="24"/>
          <w14:textFill>
            <w14:solidFill>
              <w14:schemeClr w14:val="tx1"/>
            </w14:solidFill>
          </w14:textFill>
        </w:rPr>
        <w:t>处理。提交证明材料的合理时间按第四章 评标方法规定执行。</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25样品及演示</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25.1投标人须知表11.3条中要求投标人提供样品的，按照投标人须知表25.1条中样品的评审方法以及评审标准进行评审。</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25.2采购活动结束后，对于未中标人提供的样品，应当及时退还或者经未中标人同意后自行处理；对于中标人提供的样品，应当按招标文件规定进行保管、封存，并作为履约验收的参考。具体内容见投标人须知表11.3条。</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25.3演示的评审方法以及评审标准具体内容见投标人须知表25.1条。</w:t>
      </w:r>
    </w:p>
    <w:p>
      <w:pPr>
        <w:adjustRightInd w:val="0"/>
        <w:snapToGrid w:val="0"/>
        <w:spacing w:line="360" w:lineRule="auto"/>
        <w:ind w:firstLine="240" w:firstLineChars="1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26.投标无效</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26.1在比较与评价之前，根据本须知的规定，评标委员会将审查每份投标文件是否实质上响应了招标文件的要求。</w:t>
      </w:r>
    </w:p>
    <w:p>
      <w:pPr>
        <w:adjustRightInd w:val="0"/>
        <w:snapToGri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实质性要求是指招标文件中带有★号标识内容（包括本级及其下级编号中所有内容）等文字说明的要求。</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对招标文件的实质性要求进行响应是指与招标文件中带有★号标识内容的文字说明、条款、条件和规格等要求相符。</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如果投标文件没有对招标文件的实质性要求进行响应，将作为</w:t>
      </w:r>
      <w:r>
        <w:rPr>
          <w:rFonts w:hint="eastAsia" w:ascii="仿宋_GB2312" w:hAnsi="仿宋" w:eastAsia="仿宋_GB2312" w:cs="仿宋_GB2312"/>
          <w:b/>
          <w:bCs/>
          <w:color w:val="000000" w:themeColor="text1"/>
          <w:sz w:val="24"/>
          <w14:textFill>
            <w14:solidFill>
              <w14:schemeClr w14:val="tx1"/>
            </w14:solidFill>
          </w14:textFill>
        </w:rPr>
        <w:t>无效投标</w:t>
      </w:r>
      <w:r>
        <w:rPr>
          <w:rFonts w:hint="eastAsia" w:ascii="仿宋_GB2312" w:hAnsi="仿宋" w:eastAsia="仿宋_GB2312" w:cs="仿宋_GB2312"/>
          <w:color w:val="000000" w:themeColor="text1"/>
          <w:sz w:val="24"/>
          <w14:textFill>
            <w14:solidFill>
              <w14:schemeClr w14:val="tx1"/>
            </w14:solidFill>
          </w14:textFill>
        </w:rPr>
        <w:t>处理，投标人不得再对投标文件进行任何修正从而使其投标成为实质上响应的投标。</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评标委员会决定投标的响应性只根据招标文件要求、投标文件内容及财政主管部门指定媒体发布的相关信息。</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26.2如发现下列情况之一的，其投标将被认定为</w:t>
      </w:r>
      <w:r>
        <w:rPr>
          <w:rFonts w:hint="eastAsia" w:ascii="仿宋_GB2312" w:hAnsi="仿宋" w:eastAsia="仿宋_GB2312" w:cs="仿宋_GB2312"/>
          <w:b/>
          <w:bCs/>
          <w:color w:val="000000" w:themeColor="text1"/>
          <w:sz w:val="24"/>
          <w14:textFill>
            <w14:solidFill>
              <w14:schemeClr w14:val="tx1"/>
            </w14:solidFill>
          </w14:textFill>
        </w:rPr>
        <w:t>投标无效</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480" w:firstLineChars="200"/>
        <w:rPr>
          <w:rFonts w:ascii="仿宋_GB2312" w:hAnsi="仿宋" w:eastAsia="仿宋_GB2312" w:cs="仿宋_GB2312"/>
          <w:b/>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（1）未按招标文件的规定提交投标保证金的；</w:t>
      </w:r>
    </w:p>
    <w:p>
      <w:pPr>
        <w:adjustRightInd w:val="0"/>
        <w:snapToGrid w:val="0"/>
        <w:spacing w:line="360" w:lineRule="auto"/>
        <w:ind w:firstLine="480" w:firstLineChars="200"/>
        <w:rPr>
          <w:rFonts w:ascii="仿宋_GB2312" w:hAnsi="仿宋" w:eastAsia="仿宋_GB2312" w:cs="仿宋_GB2312"/>
          <w:b/>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（2）未按照招标文件规定要求签署、盖章的；</w:t>
      </w:r>
    </w:p>
    <w:p>
      <w:pPr>
        <w:adjustRightInd w:val="0"/>
        <w:snapToGrid w:val="0"/>
        <w:spacing w:line="360" w:lineRule="auto"/>
        <w:ind w:firstLine="480" w:firstLineChars="200"/>
        <w:rPr>
          <w:rFonts w:ascii="仿宋_GB2312" w:hAnsi="仿宋" w:eastAsia="仿宋_GB2312" w:cs="仿宋_GB2312"/>
          <w:b/>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（3）投标人的报价超过了招标文件中规定的预算金额或者最高限价的；</w:t>
      </w:r>
    </w:p>
    <w:p>
      <w:pPr>
        <w:adjustRightInd w:val="0"/>
        <w:snapToGrid w:val="0"/>
        <w:spacing w:line="360" w:lineRule="auto"/>
        <w:ind w:firstLine="480" w:firstLineChars="200"/>
        <w:rPr>
          <w:rFonts w:ascii="仿宋_GB2312" w:hAnsi="仿宋" w:eastAsia="仿宋_GB2312" w:cs="仿宋_GB2312"/>
          <w:b/>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（4）不具备招标文件中规定的资格要求的；</w:t>
      </w:r>
    </w:p>
    <w:p>
      <w:pPr>
        <w:adjustRightInd w:val="0"/>
        <w:snapToGrid w:val="0"/>
        <w:spacing w:line="360" w:lineRule="auto"/>
        <w:ind w:firstLine="480" w:firstLineChars="200"/>
        <w:rPr>
          <w:rFonts w:ascii="仿宋_GB2312" w:hAnsi="仿宋" w:eastAsia="仿宋_GB2312" w:cs="仿宋_GB2312"/>
          <w:b/>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（5）不符合法律、法规和招标文件中规定的其他实质性要求的；</w:t>
      </w:r>
    </w:p>
    <w:p>
      <w:pPr>
        <w:adjustRightInd w:val="0"/>
        <w:snapToGrid w:val="0"/>
        <w:spacing w:line="360" w:lineRule="auto"/>
        <w:ind w:firstLine="480" w:firstLineChars="200"/>
        <w:rPr>
          <w:rFonts w:ascii="仿宋_GB2312" w:hAnsi="仿宋" w:eastAsia="仿宋_GB2312" w:cs="仿宋_GB2312"/>
          <w:b/>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（6）与其他投标人串通投标或者与采购人串通投标的；</w:t>
      </w:r>
    </w:p>
    <w:p>
      <w:pPr>
        <w:adjustRightInd w:val="0"/>
        <w:snapToGrid w:val="0"/>
        <w:spacing w:line="360" w:lineRule="auto"/>
        <w:ind w:firstLine="480" w:firstLineChars="200"/>
        <w:rPr>
          <w:rFonts w:ascii="仿宋_GB2312" w:hAnsi="仿宋" w:eastAsia="仿宋_GB2312" w:cs="仿宋_GB2312"/>
          <w:b/>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（7）评标委员会认为投标人的报价明显低于其他通过符合性审查投标人的报价，有可能影响履约的，且投标人未按照规定证明其报价合理性的；</w:t>
      </w:r>
    </w:p>
    <w:p>
      <w:pPr>
        <w:adjustRightInd w:val="0"/>
        <w:snapToGrid w:val="0"/>
        <w:spacing w:line="360" w:lineRule="auto"/>
        <w:ind w:firstLine="480" w:firstLineChars="200"/>
        <w:rPr>
          <w:rFonts w:ascii="仿宋_GB2312" w:hAnsi="仿宋" w:eastAsia="仿宋_GB2312" w:cs="仿宋_GB2312"/>
          <w:b/>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（8）投标文件含有采购人不能接受的附加条件的；</w:t>
      </w:r>
    </w:p>
    <w:p>
      <w:pPr>
        <w:adjustRightInd w:val="0"/>
        <w:snapToGrid w:val="0"/>
        <w:spacing w:line="360" w:lineRule="auto"/>
        <w:ind w:firstLine="480" w:firstLineChars="200"/>
        <w:rPr>
          <w:rFonts w:ascii="仿宋_GB2312" w:hAnsi="仿宋" w:eastAsia="仿宋_GB2312" w:cs="仿宋_GB2312"/>
          <w:b/>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（9）属于法律、法规和招标文件规定的其他投标无效情形。</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27.比较与评价</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27.1经符合性审查合格的投标文件，评标委员会将根据招标文件确定的评标方法和标准，对其技术部分和商务部分作进一步的比较和评价。</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27.2评标严格按照招标文件的要求和条件进行。根据实际情况，在投标人须知表27.2条中规定采用下列一种评标方法，详细评标标准见第四章 评标方法：</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（1）最低评标价法，是指投标文件满足招标文件全部实质性要求，且投标报价最低的投标人为中标候选人的评标方法。</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（2）综合评分法，是指投标文件满足招标文件全部实质性要求，且按照评审因素的量化指标评审得分最高的投标人为中标候选人的评标方法。</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27.3 根据《财政部 工业和信息化部关于印发&lt;政府采购促进中小企业发展管理办法&gt;的通知》（财库[2020]46号）、《财政部司法部关于政府采购支持监狱企业发展有关问题的通知》（财库〔2014〕68 号）和《三部门联合发布关于促进残疾人就业政府采购政策的通知》（财库〔2017〕141 号）的规定，对于非专门面向中小企业的项目，在满足价格扣除条件且在投标文件中提交了《中小企业声明函》，或省级以上监狱管理局、戒毒管理局（含新疆生产建设兵团）出具的属于监狱企业的证明文件的投标人， 其投标报价扣除10-20%后参与评审。具体详见第四章 评标方法。</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27.4 依据财政部、发展改革委、生态环境部等部门发布的品目清单和国家确定的认证机构出具的、处于有效期之内的节能产品、环境标志产品认证证书实施政府优先采购。具体优先采购办法详见第四章 评标方法。</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27.5依据财政部 国务院扶贫办《关于运用政府采购政策支持脱贫攻坚的通知》（财库〔2019〕27 号）的规定，对于聘用建档立卡贫困人员物业公司的项目，在满足价格扣除条件且在投标文件中提交了《聘用建档立卡贫困人员物业公司声明函》的投标人，对其投标报价扣除后参与评审。对具体办法详见第四章 评标方法。</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27.6根据财政部、辽宁省财政厅相关规定，对于列入《辽宁省创新产品和服务目录》内的产品、服务实施政府优先采购。具体优先采购办法详见第四章 评标方法。</w:t>
      </w:r>
    </w:p>
    <w:p>
      <w:pPr>
        <w:adjustRightInd w:val="0"/>
        <w:snapToGrid w:val="0"/>
        <w:spacing w:line="360" w:lineRule="auto"/>
        <w:ind w:firstLine="240" w:firstLineChars="1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28.废标</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出现下列情形之一，将导致项目</w:t>
      </w:r>
      <w:r>
        <w:rPr>
          <w:rFonts w:hint="eastAsia" w:ascii="仿宋_GB2312" w:hAnsi="仿宋" w:eastAsia="仿宋_GB2312" w:cs="仿宋_GB2312"/>
          <w:b/>
          <w:bCs/>
          <w:color w:val="000000" w:themeColor="text1"/>
          <w:sz w:val="24"/>
          <w14:textFill>
            <w14:solidFill>
              <w14:schemeClr w14:val="tx1"/>
            </w14:solidFill>
          </w14:textFill>
        </w:rPr>
        <w:t>废标</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（1）符合专业条件的投标人或者对招标文件做实质性响应的投标人不足3家的；</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（2）出现影响采购公正的违法、违规行为的；</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（3）投标人的报价均超过了采购预算或最高限价，采购人不能支付的；</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（4）因重大变故，采购任务取消的。</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29.中标候选人的推荐原则及标准</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29.1除第32条规定外，评标委员会将根据评标标准，对实质上响应招标文件的投标人按下列方法进行排序，推荐中标候选人：</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采用最低评标价法的，除了算数修正和落实政府采购政策需进行的价格扣除外，不对投标人的投标价格进行任何调整。评标结果按修正和扣除后的投标报价由低到高顺序排序。报价相同的，按第四章评标方法规定执行。</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（2）采用综合评分法的，评标结果按评审后得分由高到低顺序排列。得分相同的，按第四章评标方法规定执行。</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29.2评标委员会将根据评标标准，按投标人须知表29.2条中规定的数量推荐中标候选人。</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29.3因推荐中标候选人名单产生其他问题，由评标委员会集体研究处理。</w:t>
      </w:r>
    </w:p>
    <w:p>
      <w:pPr>
        <w:adjustRightInd w:val="0"/>
        <w:snapToGrid w:val="0"/>
        <w:spacing w:line="360" w:lineRule="auto"/>
        <w:ind w:firstLine="240" w:firstLineChars="1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30.保密原则</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30.1评标将在严格保密的情况下进行。</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30.2有关人员应当遵守评标工作纪律，不得泄露评审文件、评标情况和评标过程中获悉的国家秘密、商业秘密。</w:t>
      </w:r>
    </w:p>
    <w:p>
      <w:pPr>
        <w:pStyle w:val="3"/>
        <w:adjustRightInd w:val="0"/>
        <w:snapToGrid w:val="0"/>
        <w:spacing w:before="0" w:after="0" w:line="360" w:lineRule="auto"/>
        <w:rPr>
          <w:rFonts w:ascii="楷体_GB2312" w:hAnsi="仿宋" w:eastAsia="楷体_GB2312" w:cs="仿宋_GB2312"/>
          <w:color w:val="000000" w:themeColor="text1"/>
          <w:sz w:val="32"/>
          <w:szCs w:val="36"/>
          <w14:textFill>
            <w14:solidFill>
              <w14:schemeClr w14:val="tx1"/>
            </w14:solidFill>
          </w14:textFill>
        </w:rPr>
      </w:pPr>
      <w:r>
        <w:rPr>
          <w:rFonts w:hint="eastAsia" w:ascii="楷体_GB2312" w:hAnsi="仿宋" w:eastAsia="楷体_GB2312" w:cs="仿宋_GB2312"/>
          <w:color w:val="000000" w:themeColor="text1"/>
          <w:sz w:val="32"/>
          <w:szCs w:val="36"/>
          <w14:textFill>
            <w14:solidFill>
              <w14:schemeClr w14:val="tx1"/>
            </w14:solidFill>
          </w14:textFill>
        </w:rPr>
        <w:t>七 确定中标</w:t>
      </w:r>
      <w:bookmarkEnd w:id="45"/>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31.确定中标人</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由采购人或者采购人委托评标委员会按照投标人须知表31中规定的方式确定中标人。</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ind w:firstLine="240" w:firstLineChars="1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★32.采购任务取消</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因重大变故采购任务取消时，采购人有权拒绝任何供应商中标，且对受影响的投标人不承担任何责任。</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33.中标通知书</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33.1采购人或者采购组织机构应当自中标人确定之日起2个工作日内，在辽宁政府采购网及其地方分网媒体上公告中标结果。同时向中标人发出中标通知书。</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33.2中标通知书是合同的组成部分。</w:t>
      </w:r>
    </w:p>
    <w:p>
      <w:pPr>
        <w:adjustRightInd w:val="0"/>
        <w:snapToGrid w:val="0"/>
        <w:spacing w:line="360" w:lineRule="auto"/>
        <w:ind w:firstLine="240" w:firstLineChars="1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34.签订合同</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34.1中标人应当自发出中标通知书之日起 30 日内，与采购人签订书面合同。</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34.2招标文件、中标人的投标文件及其澄清文件等，均为签订合同的依据。所签订的合同不得对招标文件确定的事项和中标人投标文件作实质性修改。采购人不得向中标人提出任何不合理的要求，作为签订合同的条件。</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34.3中标人拒绝与采购人签订合同的，采购人可以按照评标报告推荐的中标候选人名单排序，确定下一中标候选人为中标人，也可以重新开展政府采购活动。</w:t>
      </w:r>
    </w:p>
    <w:p>
      <w:pPr>
        <w:adjustRightInd w:val="0"/>
        <w:snapToGrid w:val="0"/>
        <w:spacing w:line="360" w:lineRule="auto"/>
        <w:ind w:firstLine="240" w:firstLineChars="1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35.履约保证金（本项目不适用）</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35.1中标人应按照投标人须知表35.1条规定向采购人缴纳履约保证金。</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35.2 如果中标人没有按照上述履约保证金的规定执行，将视为拒绝签订合同并放弃中标资格，中标人的投标保证金将不予退还。在此情况下，采购人可确定下一中标候选人为中标人，也可以重新开展采购活动。</w:t>
      </w:r>
    </w:p>
    <w:p>
      <w:pPr>
        <w:adjustRightInd w:val="0"/>
        <w:snapToGrid w:val="0"/>
        <w:spacing w:line="360" w:lineRule="auto"/>
        <w:ind w:firstLine="240" w:firstLineChars="1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36.采购代理服务费</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中标人须按照投标须知表36条规定，向采购组织机构支付采购代理服务费。</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37.廉洁自律规定</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37.1 采购组织机构工作人员不得以不正当手段获取政府采购代理业务，不得与采购人、投标人恶意串通操纵政府采购活动。</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37.2 采购组织机构工作人员不得接受采购人或者投标人组织的宴请、旅游、娱乐，不得收受礼品、现金、有价证券等，不得向采购人或者投标人报销应当由个人承担的费用。</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38.人员回避</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投标人认为采购人及其相关人员有法律法规所列与其他投标人有利害关系的，可以向采购人或采购组织机构书面提出回避申请，并说明理由。</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39.质疑与接收</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组织机构提出质疑。</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39.2质疑投标人应按照财政部门制定的《政府采购质疑函范本》格式（详见辽宁政府采购网）和《政府采购质疑和投诉办法》的要求，在法定质疑期内以纸质形式提出质疑，针对同一采购程序环节的质疑应一次性提出。</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超出法定质疑期的、重复提出的、分次提出的或内容、形式不符合《政府采购质疑和投诉办法》的，质疑投标人将依法承担不利后果。</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39.3采购组织机构质疑函接收部门、联系电话和通讯地址, 见投标人须知表39.3条。</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40.履约验收</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本项目采购人及其委托的采购组织机构将严格按照政府采购相关法律法规以及《辽宁省政府采购履约验收管理办法》（辽财采〔2017〕603号）的要求进行验收。</w:t>
      </w:r>
    </w:p>
    <w:p>
      <w:pPr>
        <w:adjustRightInd w:val="0"/>
        <w:snapToGrid w:val="0"/>
        <w:spacing w:line="360" w:lineRule="auto"/>
        <w:ind w:firstLine="420"/>
        <w:rPr>
          <w:rFonts w:ascii="仿宋_GB2312" w:hAnsi="仿宋" w:eastAsia="仿宋_GB2312" w:cs="仿宋_GB2312"/>
          <w:b/>
          <w:color w:val="000000" w:themeColor="text1"/>
          <w14:textFill>
            <w14:solidFill>
              <w14:schemeClr w14:val="tx1"/>
            </w14:solidFill>
          </w14:textFill>
        </w:rPr>
        <w:sectPr>
          <w:footerReference r:id="rId5" w:type="default"/>
          <w:pgSz w:w="11906" w:h="16838"/>
          <w:pgMar w:top="1705" w:right="1803" w:bottom="1560" w:left="1803" w:header="1091" w:footer="982" w:gutter="0"/>
          <w:pgNumType w:start="1"/>
          <w:cols w:space="720" w:num="1"/>
          <w:docGrid w:type="linesAndChars" w:linePitch="312" w:charSpace="0"/>
        </w:sectPr>
      </w:pPr>
    </w:p>
    <w:p>
      <w:pPr>
        <w:pStyle w:val="2"/>
        <w:snapToGrid w:val="0"/>
        <w:spacing w:before="159" w:beforeLines="50" w:after="159" w:afterLines="50" w:line="360" w:lineRule="auto"/>
        <w:rPr>
          <w:rFonts w:ascii="方正小标宋简体" w:hAnsi="黑体" w:eastAsia="方正小标宋简体" w:cs="仿宋_GB2312"/>
          <w:color w:val="000000" w:themeColor="text1"/>
          <w14:textFill>
            <w14:solidFill>
              <w14:schemeClr w14:val="tx1"/>
            </w14:solidFill>
          </w14:textFill>
        </w:rPr>
      </w:pPr>
      <w:bookmarkStart w:id="46" w:name="_Toc17081"/>
      <w:bookmarkStart w:id="47" w:name="_Toc20672"/>
      <w:bookmarkStart w:id="48" w:name="_Toc17725_WPSOffice_Level1"/>
      <w:bookmarkStart w:id="49" w:name="_Toc19603"/>
      <w:r>
        <w:rPr>
          <w:rFonts w:hint="eastAsia" w:ascii="方正小标宋简体" w:hAnsi="黑体" w:eastAsia="方正小标宋简体" w:cs="仿宋_GB2312"/>
          <w:color w:val="000000" w:themeColor="text1"/>
          <w14:textFill>
            <w14:solidFill>
              <w14:schemeClr w14:val="tx1"/>
            </w14:solidFill>
          </w14:textFill>
        </w:rPr>
        <w:t>第二章 投标文件内容及格式</w:t>
      </w:r>
      <w:bookmarkEnd w:id="46"/>
      <w:bookmarkEnd w:id="47"/>
      <w:bookmarkEnd w:id="48"/>
      <w:bookmarkEnd w:id="49"/>
    </w:p>
    <w:p>
      <w:pPr>
        <w:spacing w:before="159" w:beforeLines="50" w:after="159" w:afterLines="50" w:line="360" w:lineRule="auto"/>
        <w:rPr>
          <w:rFonts w:ascii="仿宋_GB2312" w:hAnsi="仿宋" w:eastAsia="仿宋_GB2312" w:cs="仿宋_GB2312"/>
          <w:b/>
          <w:color w:val="000000" w:themeColor="text1"/>
          <w:sz w:val="24"/>
          <w14:textFill>
            <w14:solidFill>
              <w14:schemeClr w14:val="tx1"/>
            </w14:solidFill>
          </w14:textFill>
        </w:rPr>
      </w:pPr>
      <w:bookmarkStart w:id="50" w:name="sys_投标文件内容及格式：Block"/>
      <w:bookmarkEnd w:id="50"/>
      <w:bookmarkStart w:id="51" w:name="投标文件内容及格式：Block"/>
      <w:bookmarkEnd w:id="51"/>
      <w:bookmarkStart w:id="52" w:name="_Toc1538_WPSOffice_Level2"/>
      <w:bookmarkStart w:id="53" w:name="_Toc2481_WPSOffice_Level2"/>
      <w:r>
        <w:rPr>
          <w:rFonts w:hint="eastAsia" w:ascii="仿宋_GB2312" w:hAnsi="仿宋" w:eastAsia="仿宋_GB2312" w:cs="仿宋_GB2312"/>
          <w:b/>
          <w:color w:val="000000" w:themeColor="text1"/>
          <w:sz w:val="24"/>
          <w14:textFill>
            <w14:solidFill>
              <w14:schemeClr w14:val="tx1"/>
            </w14:solidFill>
          </w14:textFill>
        </w:rPr>
        <w:t>一、投标文件、电子文档的外封面、封口、封皮及目录</w:t>
      </w:r>
      <w:bookmarkEnd w:id="52"/>
      <w:bookmarkEnd w:id="53"/>
    </w:p>
    <w:tbl>
      <w:tblPr>
        <w:tblStyle w:val="20"/>
        <w:tblW w:w="8588"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7016"/>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trPr>
        <w:tc>
          <w:tcPr>
            <w:tcW w:w="797" w:type="dxa"/>
            <w:vAlign w:val="center"/>
          </w:tcPr>
          <w:p>
            <w:pPr>
              <w:widowControl/>
              <w:adjustRightInd w:val="0"/>
              <w:snapToGrid w:val="0"/>
              <w:jc w:val="center"/>
              <w:rPr>
                <w:rFonts w:ascii="仿宋_GB2312" w:hAnsi="仿宋" w:eastAsia="仿宋_GB2312" w:cs="仿宋_GB2312"/>
                <w:b/>
                <w:bCs/>
                <w:color w:val="000000" w:themeColor="text1"/>
                <w:kern w:val="0"/>
                <w:sz w:val="24"/>
                <w14:textFill>
                  <w14:solidFill>
                    <w14:schemeClr w14:val="tx1"/>
                  </w14:solidFill>
                </w14:textFill>
              </w:rPr>
            </w:pPr>
            <w:r>
              <w:rPr>
                <w:rFonts w:hint="eastAsia" w:ascii="仿宋_GB2312" w:hAnsi="仿宋" w:eastAsia="仿宋_GB2312" w:cs="仿宋_GB2312"/>
                <w:b/>
                <w:bCs/>
                <w:color w:val="000000" w:themeColor="text1"/>
                <w:kern w:val="0"/>
                <w:sz w:val="24"/>
                <w14:textFill>
                  <w14:solidFill>
                    <w14:schemeClr w14:val="tx1"/>
                  </w14:solidFill>
                </w14:textFill>
              </w:rPr>
              <w:t>序号</w:t>
            </w:r>
          </w:p>
        </w:tc>
        <w:tc>
          <w:tcPr>
            <w:tcW w:w="7016" w:type="dxa"/>
            <w:vAlign w:val="center"/>
          </w:tcPr>
          <w:p>
            <w:pPr>
              <w:widowControl/>
              <w:adjustRightInd w:val="0"/>
              <w:snapToGrid w:val="0"/>
              <w:jc w:val="center"/>
              <w:rPr>
                <w:rFonts w:ascii="仿宋_GB2312" w:hAnsi="仿宋" w:eastAsia="仿宋_GB2312" w:cs="仿宋_GB2312"/>
                <w:b/>
                <w:bCs/>
                <w:color w:val="000000" w:themeColor="text1"/>
                <w:kern w:val="0"/>
                <w:sz w:val="24"/>
                <w14:textFill>
                  <w14:solidFill>
                    <w14:schemeClr w14:val="tx1"/>
                  </w14:solidFill>
                </w14:textFill>
              </w:rPr>
            </w:pPr>
            <w:r>
              <w:rPr>
                <w:rFonts w:hint="eastAsia" w:ascii="仿宋_GB2312" w:hAnsi="仿宋" w:eastAsia="仿宋_GB2312" w:cs="仿宋_GB2312"/>
                <w:b/>
                <w:bCs/>
                <w:color w:val="000000" w:themeColor="text1"/>
                <w:kern w:val="0"/>
                <w:sz w:val="24"/>
                <w14:textFill>
                  <w14:solidFill>
                    <w14:schemeClr w14:val="tx1"/>
                  </w14:solidFill>
                </w14:textFill>
              </w:rPr>
              <w:t>内容</w:t>
            </w:r>
          </w:p>
        </w:tc>
        <w:tc>
          <w:tcPr>
            <w:tcW w:w="775" w:type="dxa"/>
            <w:vAlign w:val="center"/>
          </w:tcPr>
          <w:p>
            <w:pPr>
              <w:widowControl/>
              <w:adjustRightInd w:val="0"/>
              <w:snapToGrid w:val="0"/>
              <w:jc w:val="center"/>
              <w:rPr>
                <w:rFonts w:ascii="仿宋_GB2312" w:hAnsi="仿宋" w:eastAsia="仿宋_GB2312" w:cs="仿宋_GB2312"/>
                <w:b/>
                <w:bCs/>
                <w:color w:val="000000" w:themeColor="text1"/>
                <w:kern w:val="0"/>
                <w:sz w:val="24"/>
                <w14:textFill>
                  <w14:solidFill>
                    <w14:schemeClr w14:val="tx1"/>
                  </w14:solidFill>
                </w14:textFill>
              </w:rPr>
            </w:pPr>
            <w:r>
              <w:rPr>
                <w:rFonts w:hint="eastAsia" w:ascii="仿宋_GB2312" w:hAnsi="仿宋" w:eastAsia="仿宋_GB2312" w:cs="仿宋_GB2312"/>
                <w:b/>
                <w:bCs/>
                <w:color w:val="000000" w:themeColor="text1"/>
                <w:kern w:val="0"/>
                <w:sz w:val="24"/>
                <w14:textFill>
                  <w14:solidFill>
                    <w14:schemeClr w14:val="tx1"/>
                  </w14:solidFill>
                </w14:textFill>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97"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w:t>
            </w:r>
          </w:p>
        </w:tc>
        <w:tc>
          <w:tcPr>
            <w:tcW w:w="7016" w:type="dxa"/>
            <w:vAlign w:val="center"/>
          </w:tcPr>
          <w:p>
            <w:pPr>
              <w:widowControl/>
              <w:adjustRightInd w:val="0"/>
              <w:snapToGrid w:val="0"/>
              <w:jc w:val="left"/>
              <w:rPr>
                <w:rFonts w:ascii="仿宋_GB2312" w:hAnsi="仿宋" w:eastAsia="仿宋_GB2312" w:cs="仿宋_GB2312"/>
                <w:b/>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投标文件、电子文档的外封面及封口</w:t>
            </w:r>
          </w:p>
        </w:tc>
        <w:tc>
          <w:tcPr>
            <w:tcW w:w="775" w:type="dxa"/>
            <w:vAlign w:val="center"/>
          </w:tcPr>
          <w:p>
            <w:pPr>
              <w:widowControl/>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97" w:type="dxa"/>
            <w:vAlign w:val="center"/>
          </w:tcPr>
          <w:p>
            <w:pPr>
              <w:widowControl/>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2</w:t>
            </w:r>
          </w:p>
        </w:tc>
        <w:tc>
          <w:tcPr>
            <w:tcW w:w="7016" w:type="dxa"/>
            <w:vAlign w:val="center"/>
          </w:tcPr>
          <w:p>
            <w:pPr>
              <w:widowControl/>
              <w:adjustRightInd w:val="0"/>
              <w:snapToGrid w:val="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投标文件的封皮</w:t>
            </w:r>
          </w:p>
        </w:tc>
        <w:tc>
          <w:tcPr>
            <w:tcW w:w="775" w:type="dxa"/>
            <w:vAlign w:val="center"/>
          </w:tcPr>
          <w:p>
            <w:pPr>
              <w:widowControl/>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97" w:type="dxa"/>
            <w:vAlign w:val="center"/>
          </w:tcPr>
          <w:p>
            <w:pPr>
              <w:widowControl/>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3</w:t>
            </w:r>
          </w:p>
        </w:tc>
        <w:tc>
          <w:tcPr>
            <w:tcW w:w="7016" w:type="dxa"/>
            <w:vAlign w:val="center"/>
          </w:tcPr>
          <w:p>
            <w:pPr>
              <w:widowControl/>
              <w:adjustRightInd w:val="0"/>
              <w:snapToGrid w:val="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投标文件的目录</w:t>
            </w:r>
          </w:p>
        </w:tc>
        <w:tc>
          <w:tcPr>
            <w:tcW w:w="775" w:type="dxa"/>
            <w:vAlign w:val="center"/>
          </w:tcPr>
          <w:p>
            <w:pPr>
              <w:widowControl/>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3</w:t>
            </w:r>
          </w:p>
        </w:tc>
      </w:tr>
    </w:tbl>
    <w:p>
      <w:pPr>
        <w:spacing w:before="159" w:beforeLines="50" w:after="159" w:afterLines="50" w:line="360" w:lineRule="auto"/>
        <w:rPr>
          <w:rFonts w:ascii="仿宋_GB2312" w:hAnsi="仿宋" w:eastAsia="仿宋_GB2312" w:cs="仿宋_GB2312"/>
          <w:b/>
          <w:color w:val="000000" w:themeColor="text1"/>
          <w:sz w:val="24"/>
          <w14:textFill>
            <w14:solidFill>
              <w14:schemeClr w14:val="tx1"/>
            </w14:solidFill>
          </w14:textFill>
        </w:rPr>
      </w:pPr>
      <w:bookmarkStart w:id="54" w:name="_Toc31052_WPSOffice_Level2"/>
      <w:bookmarkStart w:id="55" w:name="_Toc1266_WPSOffice_Level2"/>
      <w:r>
        <w:rPr>
          <w:rFonts w:hint="eastAsia" w:ascii="仿宋_GB2312" w:hAnsi="仿宋" w:eastAsia="仿宋_GB2312" w:cs="仿宋_GB2312"/>
          <w:b/>
          <w:color w:val="000000" w:themeColor="text1"/>
          <w:sz w:val="24"/>
          <w14:textFill>
            <w14:solidFill>
              <w14:schemeClr w14:val="tx1"/>
            </w14:solidFill>
          </w14:textFill>
        </w:rPr>
        <w:t>二、资格性证明材料</w:t>
      </w:r>
      <w:bookmarkEnd w:id="54"/>
      <w:bookmarkEnd w:id="55"/>
      <w:r>
        <w:rPr>
          <w:rFonts w:hint="eastAsia" w:ascii="仿宋_GB2312" w:hAnsi="仿宋" w:eastAsia="仿宋_GB2312" w:cs="仿宋_GB2312"/>
          <w:b/>
          <w:color w:val="000000" w:themeColor="text1"/>
          <w:sz w:val="24"/>
          <w14:textFill>
            <w14:solidFill>
              <w14:schemeClr w14:val="tx1"/>
            </w14:solidFill>
          </w14:textFill>
        </w:rPr>
        <w:t>（有一项不符合要求，不能进入下一阶段评审）</w:t>
      </w:r>
    </w:p>
    <w:tbl>
      <w:tblPr>
        <w:tblStyle w:val="20"/>
        <w:tblW w:w="8583" w:type="dxa"/>
        <w:tblInd w:w="0" w:type="dxa"/>
        <w:tblLayout w:type="fixed"/>
        <w:tblCellMar>
          <w:top w:w="0" w:type="dxa"/>
          <w:left w:w="0" w:type="dxa"/>
          <w:bottom w:w="0" w:type="dxa"/>
          <w:right w:w="0" w:type="dxa"/>
        </w:tblCellMar>
      </w:tblPr>
      <w:tblGrid>
        <w:gridCol w:w="824"/>
        <w:gridCol w:w="7009"/>
        <w:gridCol w:w="750"/>
      </w:tblGrid>
      <w:tr>
        <w:tblPrEx>
          <w:tblCellMar>
            <w:top w:w="0" w:type="dxa"/>
            <w:left w:w="0" w:type="dxa"/>
            <w:bottom w:w="0" w:type="dxa"/>
            <w:right w:w="0" w:type="dxa"/>
          </w:tblCellMar>
        </w:tblPrEx>
        <w:trPr>
          <w:trHeight w:val="481" w:hRule="atLeast"/>
          <w:tblHeader/>
        </w:trPr>
        <w:tc>
          <w:tcPr>
            <w:tcW w:w="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b/>
                <w:bCs/>
                <w:color w:val="000000" w:themeColor="text1"/>
                <w:sz w:val="24"/>
                <w14:textFill>
                  <w14:solidFill>
                    <w14:schemeClr w14:val="tx1"/>
                  </w14:solidFill>
                </w14:textFill>
              </w:rPr>
            </w:pPr>
            <w:bookmarkStart w:id="56" w:name="sys_资格性证明材料：Document"/>
            <w:bookmarkStart w:id="57" w:name="资格性证明材料：Document"/>
            <w:r>
              <w:rPr>
                <w:rFonts w:hint="eastAsia" w:ascii="仿宋_GB2312" w:hAnsi="仿宋" w:eastAsia="仿宋_GB2312" w:cs="仿宋_GB2312"/>
                <w:b/>
                <w:bCs/>
                <w:color w:val="000000" w:themeColor="text1"/>
                <w:sz w:val="24"/>
                <w14:textFill>
                  <w14:solidFill>
                    <w14:schemeClr w14:val="tx1"/>
                  </w14:solidFill>
                </w14:textFill>
              </w:rPr>
              <w:t>序号</w:t>
            </w:r>
          </w:p>
        </w:tc>
        <w:tc>
          <w:tcPr>
            <w:tcW w:w="7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资格性证明材料</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格式</w:t>
            </w:r>
          </w:p>
        </w:tc>
      </w:tr>
      <w:tr>
        <w:tblPrEx>
          <w:tblCellMar>
            <w:top w:w="0" w:type="dxa"/>
            <w:left w:w="0" w:type="dxa"/>
            <w:bottom w:w="0" w:type="dxa"/>
            <w:right w:w="0" w:type="dxa"/>
          </w:tblCellMar>
        </w:tblPrEx>
        <w:trPr>
          <w:trHeight w:val="750" w:hRule="atLeast"/>
        </w:trPr>
        <w:tc>
          <w:tcPr>
            <w:tcW w:w="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w:t>
            </w:r>
          </w:p>
        </w:tc>
        <w:tc>
          <w:tcPr>
            <w:tcW w:w="7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营业执照或事业单位法人证书或执业许可证等证明文件复印件或自然人的身份证明复印件（自然人身份证明仅在自然人作为投标主体时适用）</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719" w:hRule="atLeast"/>
        </w:trPr>
        <w:tc>
          <w:tcPr>
            <w:tcW w:w="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w:t>
            </w:r>
          </w:p>
        </w:tc>
        <w:tc>
          <w:tcPr>
            <w:tcW w:w="7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法定代表人（或非法人组织负责人）身份证明书（自然人投标的无需提供）</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w:t>
            </w:r>
          </w:p>
        </w:tc>
      </w:tr>
      <w:tr>
        <w:tblPrEx>
          <w:tblCellMar>
            <w:top w:w="0" w:type="dxa"/>
            <w:left w:w="0" w:type="dxa"/>
            <w:bottom w:w="0" w:type="dxa"/>
            <w:right w:w="0" w:type="dxa"/>
          </w:tblCellMar>
        </w:tblPrEx>
        <w:trPr>
          <w:trHeight w:val="233" w:hRule="atLeast"/>
        </w:trPr>
        <w:tc>
          <w:tcPr>
            <w:tcW w:w="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w:t>
            </w:r>
          </w:p>
        </w:tc>
        <w:tc>
          <w:tcPr>
            <w:tcW w:w="7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法定代表人（或非法人组织负责人）授权委托书（授权委托人参加投标的须提供）</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w:t>
            </w:r>
          </w:p>
        </w:tc>
      </w:tr>
      <w:tr>
        <w:tblPrEx>
          <w:tblCellMar>
            <w:top w:w="0" w:type="dxa"/>
            <w:left w:w="0" w:type="dxa"/>
            <w:bottom w:w="0" w:type="dxa"/>
            <w:right w:w="0" w:type="dxa"/>
          </w:tblCellMar>
        </w:tblPrEx>
        <w:trPr>
          <w:trHeight w:val="570" w:hRule="atLeast"/>
        </w:trPr>
        <w:tc>
          <w:tcPr>
            <w:tcW w:w="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w:t>
            </w:r>
          </w:p>
        </w:tc>
        <w:tc>
          <w:tcPr>
            <w:tcW w:w="7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具有良好的商业信誉和健全的财务会计制度的承诺函</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w:t>
            </w:r>
          </w:p>
        </w:tc>
      </w:tr>
      <w:tr>
        <w:tblPrEx>
          <w:tblCellMar>
            <w:top w:w="0" w:type="dxa"/>
            <w:left w:w="0" w:type="dxa"/>
            <w:bottom w:w="0" w:type="dxa"/>
            <w:right w:w="0" w:type="dxa"/>
          </w:tblCellMar>
        </w:tblPrEx>
        <w:trPr>
          <w:trHeight w:val="781" w:hRule="atLeast"/>
        </w:trPr>
        <w:tc>
          <w:tcPr>
            <w:tcW w:w="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w:t>
            </w:r>
          </w:p>
        </w:tc>
        <w:tc>
          <w:tcPr>
            <w:tcW w:w="7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开标时间前六个月内任一个月的依法缴纳税收的缴款凭据</w:t>
            </w:r>
            <w:r>
              <w:rPr>
                <w:rFonts w:hint="eastAsia" w:ascii="仿宋_GB2312" w:hAnsi="仿宋" w:eastAsia="仿宋_GB2312" w:cs="仿宋_GB2312"/>
                <w:b/>
                <w:bCs/>
                <w:color w:val="000000" w:themeColor="text1"/>
                <w:sz w:val="24"/>
                <w14:textFill>
                  <w14:solidFill>
                    <w14:schemeClr w14:val="tx1"/>
                  </w14:solidFill>
                </w14:textFill>
              </w:rPr>
              <w:t>（增值税等）</w:t>
            </w:r>
            <w:r>
              <w:rPr>
                <w:rFonts w:hint="eastAsia" w:ascii="仿宋_GB2312" w:hAnsi="仿宋" w:eastAsia="仿宋_GB2312" w:cs="仿宋_GB2312"/>
                <w:color w:val="000000" w:themeColor="text1"/>
                <w:sz w:val="24"/>
                <w14:textFill>
                  <w14:solidFill>
                    <w14:schemeClr w14:val="tx1"/>
                  </w14:solidFill>
                </w14:textFill>
              </w:rPr>
              <w:t>复印件（注：依法免税的投标人，应提供相关证明材料，包括相关法规要求原文及加盖单位公章的情况说明）</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998" w:hRule="atLeast"/>
        </w:trPr>
        <w:tc>
          <w:tcPr>
            <w:tcW w:w="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w:t>
            </w:r>
          </w:p>
        </w:tc>
        <w:tc>
          <w:tcPr>
            <w:tcW w:w="7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开标时间前六个月内任一个月的依法缴纳社会保障资金的缴款凭据复印件（注：依法不需要缴纳社会保障资金的投标人，应提供相关证明材料，包括相关法规要求原文及加盖公章的情况说明）</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560" w:hRule="atLeast"/>
        </w:trPr>
        <w:tc>
          <w:tcPr>
            <w:tcW w:w="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w:t>
            </w:r>
          </w:p>
        </w:tc>
        <w:tc>
          <w:tcPr>
            <w:tcW w:w="7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具备履行合同所必需的设备和专业技术能力声明函</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w:t>
            </w:r>
          </w:p>
        </w:tc>
      </w:tr>
      <w:tr>
        <w:tblPrEx>
          <w:tblCellMar>
            <w:top w:w="0" w:type="dxa"/>
            <w:left w:w="0" w:type="dxa"/>
            <w:bottom w:w="0" w:type="dxa"/>
            <w:right w:w="0" w:type="dxa"/>
          </w:tblCellMar>
        </w:tblPrEx>
        <w:trPr>
          <w:trHeight w:val="845" w:hRule="atLeast"/>
        </w:trPr>
        <w:tc>
          <w:tcPr>
            <w:tcW w:w="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8</w:t>
            </w:r>
          </w:p>
        </w:tc>
        <w:tc>
          <w:tcPr>
            <w:tcW w:w="7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参加政府采购活动前3年内在经营活动中没有重大违法记录的声明并后附中国政府采购网官网（http://www.ccgp.gov.cn/cr/list）和信用中国官网（http://www.creditchina.gov.cn/）查询截图</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8</w:t>
            </w:r>
          </w:p>
        </w:tc>
      </w:tr>
      <w:tr>
        <w:tblPrEx>
          <w:tblCellMar>
            <w:top w:w="0" w:type="dxa"/>
            <w:left w:w="0" w:type="dxa"/>
            <w:bottom w:w="0" w:type="dxa"/>
            <w:right w:w="0" w:type="dxa"/>
          </w:tblCellMar>
        </w:tblPrEx>
        <w:trPr>
          <w:trHeight w:val="588" w:hRule="atLeast"/>
        </w:trPr>
        <w:tc>
          <w:tcPr>
            <w:tcW w:w="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bookmarkStart w:id="58" w:name="_Toc25206_WPSOffice_Level2"/>
            <w:bookmarkStart w:id="59" w:name="_Toc22359_WPSOffice_Level2"/>
            <w:r>
              <w:rPr>
                <w:rFonts w:hint="eastAsia" w:ascii="仿宋_GB2312" w:hAnsi="仿宋" w:eastAsia="仿宋_GB2312" w:cs="仿宋_GB2312"/>
                <w:color w:val="000000" w:themeColor="text1"/>
                <w:sz w:val="24"/>
                <w14:textFill>
                  <w14:solidFill>
                    <w14:schemeClr w14:val="tx1"/>
                  </w14:solidFill>
                </w14:textFill>
              </w:rPr>
              <w:t>9</w:t>
            </w:r>
          </w:p>
        </w:tc>
        <w:tc>
          <w:tcPr>
            <w:tcW w:w="7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联合体协议书（002包 如有）</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9</w:t>
            </w:r>
          </w:p>
        </w:tc>
      </w:tr>
    </w:tbl>
    <w:p>
      <w:pPr>
        <w:snapToGrid w:val="0"/>
        <w:spacing w:before="159" w:beforeLines="50" w:after="159" w:afterLines="50" w:line="360" w:lineRule="auto"/>
        <w:ind w:firstLine="480" w:firstLineChars="200"/>
        <w:rPr>
          <w:rFonts w:ascii="仿宋_GB2312" w:hAnsi="仿宋" w:eastAsia="仿宋_GB2312" w:cs="仿宋_GB2312"/>
          <w:b/>
          <w:color w:val="000000" w:themeColor="text1"/>
          <w:sz w:val="24"/>
          <w14:textFill>
            <w14:solidFill>
              <w14:schemeClr w14:val="tx1"/>
            </w14:solidFill>
          </w14:textFill>
        </w:rPr>
      </w:pPr>
      <w:r>
        <w:rPr>
          <w:rFonts w:hint="eastAsia" w:ascii="仿宋_GB2312" w:eastAsia="仿宋_GB2312"/>
          <w:b/>
          <w:bCs/>
          <w:color w:val="000000" w:themeColor="text1"/>
          <w:sz w:val="24"/>
          <w:u w:val="single"/>
          <w14:textFill>
            <w14:solidFill>
              <w14:schemeClr w14:val="tx1"/>
            </w14:solidFill>
          </w14:textFill>
        </w:rPr>
        <w:t>注：如联合体投标的，资格性证明材料中序号2、3由牵头人提供即可；序号1、4、5、6、7、8由联合体牵头人与成员单位均需提供；序号9联合体协议书按给定格式提供。</w:t>
      </w:r>
      <w:r>
        <w:rPr>
          <w:rFonts w:hint="eastAsia" w:ascii="仿宋_GB2312" w:eastAsia="仿宋_GB2312"/>
          <w:b/>
          <w:bCs/>
          <w:color w:val="000000" w:themeColor="text1"/>
          <w14:textFill>
            <w14:solidFill>
              <w14:schemeClr w14:val="tx1"/>
            </w14:solidFill>
          </w14:textFill>
        </w:rPr>
        <w:br w:type="page"/>
      </w:r>
      <w:r>
        <w:rPr>
          <w:rFonts w:hint="eastAsia" w:ascii="仿宋_GB2312" w:hAnsi="仿宋" w:eastAsia="仿宋_GB2312" w:cs="仿宋_GB2312"/>
          <w:b/>
          <w:color w:val="000000" w:themeColor="text1"/>
          <w:sz w:val="24"/>
          <w14:textFill>
            <w14:solidFill>
              <w14:schemeClr w14:val="tx1"/>
            </w14:solidFill>
          </w14:textFill>
        </w:rPr>
        <w:t>三、符合性证明材料</w:t>
      </w:r>
      <w:bookmarkEnd w:id="58"/>
      <w:bookmarkEnd w:id="59"/>
      <w:r>
        <w:rPr>
          <w:rFonts w:hint="eastAsia" w:ascii="仿宋_GB2312" w:hAnsi="仿宋" w:eastAsia="仿宋_GB2312" w:cs="仿宋_GB2312"/>
          <w:b/>
          <w:color w:val="000000" w:themeColor="text1"/>
          <w:sz w:val="24"/>
          <w14:textFill>
            <w14:solidFill>
              <w14:schemeClr w14:val="tx1"/>
            </w14:solidFill>
          </w14:textFill>
        </w:rPr>
        <w:t>（有一项不符合要求，不能进入下一阶段评审）</w:t>
      </w:r>
    </w:p>
    <w:bookmarkEnd w:id="56"/>
    <w:bookmarkEnd w:id="57"/>
    <w:tbl>
      <w:tblPr>
        <w:tblStyle w:val="20"/>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918"/>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blHeader/>
        </w:trPr>
        <w:tc>
          <w:tcPr>
            <w:tcW w:w="828" w:type="dxa"/>
            <w:vAlign w:val="center"/>
          </w:tcPr>
          <w:p>
            <w:pPr>
              <w:adjustRightInd w:val="0"/>
              <w:snapToGrid w:val="0"/>
              <w:jc w:val="center"/>
              <w:rPr>
                <w:rFonts w:ascii="仿宋_GB2312" w:hAnsi="仿宋" w:eastAsia="仿宋_GB2312" w:cs="仿宋_GB2312"/>
                <w:b/>
                <w:bCs/>
                <w:color w:val="000000" w:themeColor="text1"/>
                <w:kern w:val="0"/>
                <w:sz w:val="24"/>
                <w14:textFill>
                  <w14:solidFill>
                    <w14:schemeClr w14:val="tx1"/>
                  </w14:solidFill>
                </w14:textFill>
              </w:rPr>
            </w:pPr>
            <w:r>
              <w:rPr>
                <w:rFonts w:hint="eastAsia" w:ascii="仿宋_GB2312" w:hAnsi="仿宋" w:eastAsia="仿宋_GB2312" w:cs="仿宋_GB2312"/>
                <w:b/>
                <w:bCs/>
                <w:color w:val="000000" w:themeColor="text1"/>
                <w:kern w:val="0"/>
                <w:sz w:val="24"/>
                <w14:textFill>
                  <w14:solidFill>
                    <w14:schemeClr w14:val="tx1"/>
                  </w14:solidFill>
                </w14:textFill>
              </w:rPr>
              <w:t>序号</w:t>
            </w:r>
          </w:p>
        </w:tc>
        <w:tc>
          <w:tcPr>
            <w:tcW w:w="6918" w:type="dxa"/>
            <w:vAlign w:val="center"/>
          </w:tcPr>
          <w:p>
            <w:pPr>
              <w:adjustRightInd w:val="0"/>
              <w:snapToGrid w:val="0"/>
              <w:jc w:val="center"/>
              <w:rPr>
                <w:rFonts w:ascii="仿宋_GB2312" w:hAnsi="仿宋" w:eastAsia="仿宋_GB2312" w:cs="仿宋_GB2312"/>
                <w:b/>
                <w:bCs/>
                <w:color w:val="000000" w:themeColor="text1"/>
                <w:kern w:val="0"/>
                <w:sz w:val="24"/>
                <w14:textFill>
                  <w14:solidFill>
                    <w14:schemeClr w14:val="tx1"/>
                  </w14:solidFill>
                </w14:textFill>
              </w:rPr>
            </w:pPr>
            <w:r>
              <w:rPr>
                <w:rFonts w:hint="eastAsia" w:ascii="仿宋_GB2312" w:hAnsi="仿宋" w:eastAsia="仿宋_GB2312" w:cs="仿宋_GB2312"/>
                <w:b/>
                <w:bCs/>
                <w:color w:val="000000" w:themeColor="text1"/>
                <w:kern w:val="0"/>
                <w:sz w:val="24"/>
                <w14:textFill>
                  <w14:solidFill>
                    <w14:schemeClr w14:val="tx1"/>
                  </w14:solidFill>
                </w14:textFill>
              </w:rPr>
              <w:t>符合性证明材料</w:t>
            </w:r>
          </w:p>
        </w:tc>
        <w:tc>
          <w:tcPr>
            <w:tcW w:w="780" w:type="dxa"/>
            <w:vAlign w:val="center"/>
          </w:tcPr>
          <w:p>
            <w:pPr>
              <w:adjustRightInd w:val="0"/>
              <w:snapToGrid w:val="0"/>
              <w:jc w:val="center"/>
              <w:rPr>
                <w:rFonts w:ascii="仿宋_GB2312" w:hAnsi="仿宋" w:eastAsia="仿宋_GB2312" w:cs="仿宋_GB2312"/>
                <w:b/>
                <w:bCs/>
                <w:color w:val="000000" w:themeColor="text1"/>
                <w:kern w:val="0"/>
                <w:sz w:val="24"/>
                <w14:textFill>
                  <w14:solidFill>
                    <w14:schemeClr w14:val="tx1"/>
                  </w14:solidFill>
                </w14:textFill>
              </w:rPr>
            </w:pPr>
            <w:r>
              <w:rPr>
                <w:rFonts w:hint="eastAsia" w:ascii="仿宋_GB2312" w:hAnsi="仿宋" w:eastAsia="仿宋_GB2312" w:cs="仿宋_GB2312"/>
                <w:b/>
                <w:bCs/>
                <w:color w:val="000000" w:themeColor="text1"/>
                <w:kern w:val="0"/>
                <w:sz w:val="24"/>
                <w14:textFill>
                  <w14:solidFill>
                    <w14:schemeClr w14:val="tx1"/>
                  </w14:solidFill>
                </w14:textFill>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28"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w:t>
            </w:r>
          </w:p>
        </w:tc>
        <w:tc>
          <w:tcPr>
            <w:tcW w:w="6918" w:type="dxa"/>
            <w:vAlign w:val="center"/>
          </w:tcPr>
          <w:p>
            <w:pPr>
              <w:adjustRightInd w:val="0"/>
              <w:snapToGrid w:val="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投标函</w:t>
            </w:r>
          </w:p>
        </w:tc>
        <w:tc>
          <w:tcPr>
            <w:tcW w:w="780"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28"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2</w:t>
            </w:r>
          </w:p>
        </w:tc>
        <w:tc>
          <w:tcPr>
            <w:tcW w:w="6918" w:type="dxa"/>
            <w:vAlign w:val="center"/>
          </w:tcPr>
          <w:p>
            <w:pPr>
              <w:adjustRightInd w:val="0"/>
              <w:snapToGrid w:val="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递交投标保证金证明</w:t>
            </w:r>
          </w:p>
        </w:tc>
        <w:tc>
          <w:tcPr>
            <w:tcW w:w="780"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28"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3</w:t>
            </w:r>
          </w:p>
        </w:tc>
        <w:tc>
          <w:tcPr>
            <w:tcW w:w="6918" w:type="dxa"/>
            <w:vAlign w:val="center"/>
          </w:tcPr>
          <w:p>
            <w:pPr>
              <w:adjustRightInd w:val="0"/>
              <w:snapToGrid w:val="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开标一览表</w:t>
            </w:r>
          </w:p>
        </w:tc>
        <w:tc>
          <w:tcPr>
            <w:tcW w:w="780"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8"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4</w:t>
            </w:r>
          </w:p>
        </w:tc>
        <w:tc>
          <w:tcPr>
            <w:tcW w:w="6918" w:type="dxa"/>
            <w:vAlign w:val="center"/>
          </w:tcPr>
          <w:p>
            <w:pPr>
              <w:adjustRightInd w:val="0"/>
              <w:snapToGrid w:val="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服务价格明细表</w:t>
            </w:r>
          </w:p>
        </w:tc>
        <w:tc>
          <w:tcPr>
            <w:tcW w:w="780"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28"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5</w:t>
            </w:r>
          </w:p>
        </w:tc>
        <w:tc>
          <w:tcPr>
            <w:tcW w:w="6918" w:type="dxa"/>
            <w:vAlign w:val="center"/>
          </w:tcPr>
          <w:p>
            <w:pPr>
              <w:adjustRightInd w:val="0"/>
              <w:snapToGrid w:val="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服务需求响应表</w:t>
            </w:r>
          </w:p>
        </w:tc>
        <w:tc>
          <w:tcPr>
            <w:tcW w:w="780"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6</w:t>
            </w:r>
          </w:p>
        </w:tc>
        <w:tc>
          <w:tcPr>
            <w:tcW w:w="6918" w:type="dxa"/>
            <w:vAlign w:val="center"/>
          </w:tcPr>
          <w:p>
            <w:pPr>
              <w:adjustRightInd w:val="0"/>
              <w:snapToGrid w:val="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商务条款偏离表</w:t>
            </w:r>
          </w:p>
        </w:tc>
        <w:tc>
          <w:tcPr>
            <w:tcW w:w="780"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8"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7</w:t>
            </w:r>
          </w:p>
        </w:tc>
        <w:tc>
          <w:tcPr>
            <w:tcW w:w="6918" w:type="dxa"/>
            <w:vAlign w:val="center"/>
          </w:tcPr>
          <w:p>
            <w:pPr>
              <w:adjustRightInd w:val="0"/>
              <w:snapToGrid w:val="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投标人关联单位说明</w:t>
            </w:r>
            <w:r>
              <w:rPr>
                <w:rFonts w:hint="eastAsia" w:ascii="仿宋_GB2312" w:hAnsi="仿宋" w:eastAsia="仿宋_GB2312" w:cs="仿宋_GB2312"/>
                <w:b/>
                <w:bCs/>
                <w:color w:val="000000" w:themeColor="text1"/>
                <w:kern w:val="0"/>
                <w:sz w:val="24"/>
                <w14:textFill>
                  <w14:solidFill>
                    <w14:schemeClr w14:val="tx1"/>
                  </w14:solidFill>
                </w14:textFill>
              </w:rPr>
              <w:t>（</w:t>
            </w:r>
            <w:r>
              <w:rPr>
                <w:rFonts w:hint="eastAsia" w:ascii="仿宋_GB2312" w:eastAsia="仿宋_GB2312"/>
                <w:b/>
                <w:bCs/>
                <w:color w:val="000000" w:themeColor="text1"/>
                <w:sz w:val="24"/>
                <w14:textFill>
                  <w14:solidFill>
                    <w14:schemeClr w14:val="tx1"/>
                  </w14:solidFill>
                </w14:textFill>
              </w:rPr>
              <w:t>联合体牵头人与成员单位均需提供）</w:t>
            </w:r>
          </w:p>
        </w:tc>
        <w:tc>
          <w:tcPr>
            <w:tcW w:w="780"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8"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bookmarkStart w:id="60" w:name="_Toc24432_WPSOffice_Level2"/>
            <w:bookmarkStart w:id="61" w:name="_Toc27769_WPSOffice_Level2"/>
            <w:r>
              <w:rPr>
                <w:rFonts w:hint="eastAsia" w:ascii="仿宋_GB2312" w:hAnsi="仿宋" w:eastAsia="仿宋_GB2312" w:cs="仿宋_GB2312"/>
                <w:color w:val="000000" w:themeColor="text1"/>
                <w:kern w:val="0"/>
                <w:sz w:val="24"/>
                <w14:textFill>
                  <w14:solidFill>
                    <w14:schemeClr w14:val="tx1"/>
                  </w14:solidFill>
                </w14:textFill>
              </w:rPr>
              <w:t>8</w:t>
            </w:r>
          </w:p>
        </w:tc>
        <w:tc>
          <w:tcPr>
            <w:tcW w:w="6918" w:type="dxa"/>
            <w:vAlign w:val="center"/>
          </w:tcPr>
          <w:p>
            <w:pPr>
              <w:adjustRightInd w:val="0"/>
              <w:snapToGrid w:val="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投标文件一致性承诺函</w:t>
            </w:r>
          </w:p>
        </w:tc>
        <w:tc>
          <w:tcPr>
            <w:tcW w:w="780"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16</w:t>
            </w:r>
          </w:p>
        </w:tc>
      </w:tr>
    </w:tbl>
    <w:p>
      <w:pPr>
        <w:snapToGrid w:val="0"/>
        <w:spacing w:before="159" w:beforeLines="50" w:after="159" w:afterLines="50"/>
        <w:rPr>
          <w:rFonts w:ascii="仿宋_GB2312" w:hAnsi="仿宋" w:eastAsia="仿宋_GB2312" w:cs="仿宋_GB2312"/>
          <w:b/>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四、其他材料</w:t>
      </w:r>
      <w:bookmarkEnd w:id="60"/>
      <w:bookmarkEnd w:id="61"/>
      <w:r>
        <w:rPr>
          <w:rFonts w:hint="eastAsia" w:ascii="仿宋_GB2312" w:hAnsi="仿宋" w:eastAsia="仿宋_GB2312" w:cs="仿宋_GB2312"/>
          <w:b/>
          <w:color w:val="000000" w:themeColor="text1"/>
          <w:sz w:val="24"/>
          <w14:textFill>
            <w14:solidFill>
              <w14:schemeClr w14:val="tx1"/>
            </w14:solidFill>
          </w14:textFill>
        </w:rPr>
        <w:t>（如有，请提供；如未提供，投标文件不作无效处理）</w:t>
      </w:r>
    </w:p>
    <w:tbl>
      <w:tblPr>
        <w:tblStyle w:val="20"/>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6990"/>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trPr>
        <w:tc>
          <w:tcPr>
            <w:tcW w:w="836" w:type="dxa"/>
            <w:vAlign w:val="center"/>
          </w:tcPr>
          <w:p>
            <w:pPr>
              <w:adjustRightInd w:val="0"/>
              <w:snapToGrid w:val="0"/>
              <w:jc w:val="center"/>
              <w:rPr>
                <w:rFonts w:ascii="仿宋_GB2312" w:hAnsi="仿宋" w:eastAsia="仿宋_GB2312" w:cs="仿宋_GB2312"/>
                <w:b/>
                <w:bCs/>
                <w:color w:val="000000" w:themeColor="text1"/>
                <w:kern w:val="0"/>
                <w:sz w:val="24"/>
                <w14:textFill>
                  <w14:solidFill>
                    <w14:schemeClr w14:val="tx1"/>
                  </w14:solidFill>
                </w14:textFill>
              </w:rPr>
            </w:pPr>
            <w:r>
              <w:rPr>
                <w:rFonts w:hint="eastAsia" w:ascii="仿宋_GB2312" w:hAnsi="仿宋" w:eastAsia="仿宋_GB2312" w:cs="仿宋_GB2312"/>
                <w:b/>
                <w:bCs/>
                <w:color w:val="000000" w:themeColor="text1"/>
                <w:kern w:val="0"/>
                <w:sz w:val="24"/>
                <w14:textFill>
                  <w14:solidFill>
                    <w14:schemeClr w14:val="tx1"/>
                  </w14:solidFill>
                </w14:textFill>
              </w:rPr>
              <w:t>序号</w:t>
            </w:r>
          </w:p>
        </w:tc>
        <w:tc>
          <w:tcPr>
            <w:tcW w:w="6990" w:type="dxa"/>
            <w:vAlign w:val="center"/>
          </w:tcPr>
          <w:p>
            <w:pPr>
              <w:adjustRightInd w:val="0"/>
              <w:snapToGrid w:val="0"/>
              <w:jc w:val="center"/>
              <w:rPr>
                <w:rFonts w:ascii="仿宋_GB2312" w:hAnsi="仿宋" w:eastAsia="仿宋_GB2312" w:cs="仿宋_GB2312"/>
                <w:b/>
                <w:bCs/>
                <w:color w:val="000000" w:themeColor="text1"/>
                <w:kern w:val="0"/>
                <w:sz w:val="24"/>
                <w14:textFill>
                  <w14:solidFill>
                    <w14:schemeClr w14:val="tx1"/>
                  </w14:solidFill>
                </w14:textFill>
              </w:rPr>
            </w:pPr>
            <w:r>
              <w:rPr>
                <w:rFonts w:hint="eastAsia" w:ascii="仿宋_GB2312" w:hAnsi="仿宋" w:eastAsia="仿宋_GB2312" w:cs="仿宋_GB2312"/>
                <w:b/>
                <w:bCs/>
                <w:color w:val="000000" w:themeColor="text1"/>
                <w:kern w:val="0"/>
                <w:sz w:val="24"/>
                <w14:textFill>
                  <w14:solidFill>
                    <w14:schemeClr w14:val="tx1"/>
                  </w14:solidFill>
                </w14:textFill>
              </w:rPr>
              <w:t>其他材料</w:t>
            </w:r>
          </w:p>
        </w:tc>
        <w:tc>
          <w:tcPr>
            <w:tcW w:w="788" w:type="dxa"/>
            <w:vAlign w:val="center"/>
          </w:tcPr>
          <w:p>
            <w:pPr>
              <w:adjustRightInd w:val="0"/>
              <w:snapToGrid w:val="0"/>
              <w:jc w:val="center"/>
              <w:rPr>
                <w:rFonts w:ascii="仿宋_GB2312" w:hAnsi="仿宋" w:eastAsia="仿宋_GB2312" w:cs="仿宋_GB2312"/>
                <w:b/>
                <w:bCs/>
                <w:color w:val="000000" w:themeColor="text1"/>
                <w:kern w:val="0"/>
                <w:sz w:val="24"/>
                <w14:textFill>
                  <w14:solidFill>
                    <w14:schemeClr w14:val="tx1"/>
                  </w14:solidFill>
                </w14:textFill>
              </w:rPr>
            </w:pPr>
            <w:r>
              <w:rPr>
                <w:rFonts w:hint="eastAsia" w:ascii="仿宋_GB2312" w:hAnsi="仿宋" w:eastAsia="仿宋_GB2312" w:cs="仿宋_GB2312"/>
                <w:b/>
                <w:bCs/>
                <w:color w:val="000000" w:themeColor="text1"/>
                <w:kern w:val="0"/>
                <w:sz w:val="24"/>
                <w14:textFill>
                  <w14:solidFill>
                    <w14:schemeClr w14:val="tx1"/>
                  </w14:solidFill>
                </w14:textFill>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6"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w:t>
            </w:r>
          </w:p>
        </w:tc>
        <w:tc>
          <w:tcPr>
            <w:tcW w:w="6990" w:type="dxa"/>
            <w:vAlign w:val="center"/>
          </w:tcPr>
          <w:p>
            <w:pPr>
              <w:adjustRightInd w:val="0"/>
              <w:snapToGrid w:val="0"/>
              <w:ind w:left="25" w:leftChars="12"/>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监狱企业证明文件</w:t>
            </w:r>
          </w:p>
        </w:tc>
        <w:tc>
          <w:tcPr>
            <w:tcW w:w="788"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6"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2</w:t>
            </w:r>
          </w:p>
        </w:tc>
        <w:tc>
          <w:tcPr>
            <w:tcW w:w="6990" w:type="dxa"/>
            <w:vAlign w:val="center"/>
          </w:tcPr>
          <w:p>
            <w:pPr>
              <w:adjustRightInd w:val="0"/>
              <w:snapToGrid w:val="0"/>
              <w:ind w:left="25" w:leftChars="12"/>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中小企业声明函</w:t>
            </w:r>
          </w:p>
        </w:tc>
        <w:tc>
          <w:tcPr>
            <w:tcW w:w="788"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6"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3</w:t>
            </w:r>
          </w:p>
        </w:tc>
        <w:tc>
          <w:tcPr>
            <w:tcW w:w="6990" w:type="dxa"/>
            <w:vAlign w:val="center"/>
          </w:tcPr>
          <w:p>
            <w:pPr>
              <w:adjustRightInd w:val="0"/>
              <w:snapToGrid w:val="0"/>
              <w:ind w:left="25" w:leftChars="12"/>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制造商企业（单位）类型声明函（本项目不适用）</w:t>
            </w:r>
          </w:p>
        </w:tc>
        <w:tc>
          <w:tcPr>
            <w:tcW w:w="788"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6"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4</w:t>
            </w:r>
          </w:p>
        </w:tc>
        <w:tc>
          <w:tcPr>
            <w:tcW w:w="6990" w:type="dxa"/>
            <w:vAlign w:val="center"/>
          </w:tcPr>
          <w:p>
            <w:pPr>
              <w:adjustRightInd w:val="0"/>
              <w:snapToGrid w:val="0"/>
              <w:ind w:left="25" w:leftChars="12"/>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残疾人福利性单位声明函</w:t>
            </w:r>
          </w:p>
        </w:tc>
        <w:tc>
          <w:tcPr>
            <w:tcW w:w="788"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6"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5</w:t>
            </w:r>
          </w:p>
        </w:tc>
        <w:tc>
          <w:tcPr>
            <w:tcW w:w="6990" w:type="dxa"/>
            <w:vAlign w:val="center"/>
          </w:tcPr>
          <w:p>
            <w:pPr>
              <w:adjustRightInd w:val="0"/>
              <w:snapToGrid w:val="0"/>
              <w:ind w:left="25" w:leftChars="12"/>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聘用建档立卡贫困人员物业公司声明函（本项目不适用）</w:t>
            </w:r>
          </w:p>
        </w:tc>
        <w:tc>
          <w:tcPr>
            <w:tcW w:w="788"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6"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w:t>
            </w:r>
          </w:p>
        </w:tc>
        <w:tc>
          <w:tcPr>
            <w:tcW w:w="6990" w:type="dxa"/>
            <w:vAlign w:val="center"/>
          </w:tcPr>
          <w:p>
            <w:pPr>
              <w:adjustRightInd w:val="0"/>
              <w:snapToGrid w:val="0"/>
              <w:ind w:left="25" w:leftChars="12"/>
              <w:rPr>
                <w:rFonts w:ascii="仿宋_GB2312" w:hAnsi="仿宋"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承诺书</w:t>
            </w:r>
          </w:p>
        </w:tc>
        <w:tc>
          <w:tcPr>
            <w:tcW w:w="788"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36"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w:t>
            </w:r>
          </w:p>
        </w:tc>
        <w:tc>
          <w:tcPr>
            <w:tcW w:w="6990" w:type="dxa"/>
            <w:vAlign w:val="center"/>
          </w:tcPr>
          <w:p>
            <w:pPr>
              <w:adjustRightInd w:val="0"/>
              <w:snapToGrid w:val="0"/>
              <w:ind w:left="25" w:leftChars="12"/>
              <w:rPr>
                <w:rFonts w:ascii="仿宋_GB2312" w:hAnsi="仿宋"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保证金退还明细表（电汇）</w:t>
            </w:r>
          </w:p>
        </w:tc>
        <w:tc>
          <w:tcPr>
            <w:tcW w:w="788"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36"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ascii="仿宋_GB2312" w:hAnsi="仿宋" w:eastAsia="仿宋_GB2312" w:cs="仿宋_GB2312"/>
                <w:color w:val="000000" w:themeColor="text1"/>
                <w:kern w:val="0"/>
                <w:sz w:val="24"/>
                <w14:textFill>
                  <w14:solidFill>
                    <w14:schemeClr w14:val="tx1"/>
                  </w14:solidFill>
                </w14:textFill>
              </w:rPr>
              <w:t>9</w:t>
            </w:r>
          </w:p>
        </w:tc>
        <w:tc>
          <w:tcPr>
            <w:tcW w:w="6990" w:type="dxa"/>
            <w:vAlign w:val="center"/>
          </w:tcPr>
          <w:p>
            <w:pPr>
              <w:adjustRightInd w:val="0"/>
              <w:snapToGrid w:val="0"/>
              <w:ind w:left="25" w:leftChars="12"/>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投标人基本情况</w:t>
            </w:r>
          </w:p>
        </w:tc>
        <w:tc>
          <w:tcPr>
            <w:tcW w:w="788"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36"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10</w:t>
            </w:r>
          </w:p>
        </w:tc>
        <w:tc>
          <w:tcPr>
            <w:tcW w:w="6990" w:type="dxa"/>
            <w:vAlign w:val="center"/>
          </w:tcPr>
          <w:p>
            <w:pPr>
              <w:adjustRightInd w:val="0"/>
              <w:snapToGrid w:val="0"/>
              <w:ind w:left="25" w:leftChars="12"/>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服务方案</w:t>
            </w:r>
          </w:p>
        </w:tc>
        <w:tc>
          <w:tcPr>
            <w:tcW w:w="788" w:type="dxa"/>
            <w:vAlign w:val="center"/>
          </w:tcPr>
          <w:p>
            <w:pPr>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24</w:t>
            </w:r>
          </w:p>
        </w:tc>
      </w:tr>
    </w:tbl>
    <w:p>
      <w:pPr>
        <w:spacing w:line="260" w:lineRule="exact"/>
        <w:rPr>
          <w:rFonts w:ascii="楷体_GB2312" w:hAnsi="仿宋" w:eastAsia="楷体_GB2312" w:cs="仿宋_GB2312"/>
          <w:b/>
          <w:color w:val="000000" w:themeColor="text1"/>
          <w:sz w:val="24"/>
          <w14:textFill>
            <w14:solidFill>
              <w14:schemeClr w14:val="tx1"/>
            </w14:solidFill>
          </w14:textFill>
        </w:rPr>
      </w:pPr>
      <w:r>
        <w:rPr>
          <w:rFonts w:hint="eastAsia" w:ascii="楷体_GB2312" w:hAnsi="仿宋" w:eastAsia="楷体_GB2312" w:cs="仿宋_GB2312"/>
          <w:b/>
          <w:color w:val="000000" w:themeColor="text1"/>
          <w:sz w:val="24"/>
          <w14:textFill>
            <w14:solidFill>
              <w14:schemeClr w14:val="tx1"/>
            </w14:solidFill>
          </w14:textFill>
        </w:rPr>
        <w:t xml:space="preserve"> </w:t>
      </w:r>
      <w:bookmarkStart w:id="62" w:name="_Toc23127_WPSOffice_Level2"/>
      <w:bookmarkStart w:id="63" w:name="_Toc24011_WPSOffice_Level2"/>
      <w:r>
        <w:rPr>
          <w:rFonts w:hint="eastAsia" w:ascii="楷体_GB2312" w:hAnsi="仿宋" w:eastAsia="楷体_GB2312" w:cs="仿宋_GB2312"/>
          <w:b/>
          <w:color w:val="000000" w:themeColor="text1"/>
          <w:sz w:val="24"/>
          <w14:textFill>
            <w14:solidFill>
              <w14:schemeClr w14:val="tx1"/>
            </w14:solidFill>
          </w14:textFill>
        </w:rPr>
        <w:t>重要提示：</w:t>
      </w:r>
      <w:bookmarkEnd w:id="62"/>
      <w:bookmarkEnd w:id="63"/>
    </w:p>
    <w:p>
      <w:pPr>
        <w:adjustRightInd w:val="0"/>
        <w:snapToGrid w:val="0"/>
        <w:spacing w:line="26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1.投标人提供的证明材料，除需要投标人填报或有特殊说明外，均须按要求提供。</w:t>
      </w:r>
      <w:r>
        <w:rPr>
          <w:rFonts w:hint="eastAsia" w:ascii="仿宋_GB2312" w:hAnsi="仿宋" w:eastAsia="仿宋_GB2312" w:cs="仿宋_GB2312"/>
          <w:b/>
          <w:bCs/>
          <w:color w:val="000000" w:themeColor="text1"/>
          <w:sz w:val="24"/>
          <w14:textFill>
            <w14:solidFill>
              <w14:schemeClr w14:val="tx1"/>
            </w14:solidFill>
          </w14:textFill>
        </w:rPr>
        <w:t xml:space="preserve"> </w:t>
      </w:r>
    </w:p>
    <w:p>
      <w:pPr>
        <w:adjustRightInd w:val="0"/>
        <w:snapToGrid w:val="0"/>
        <w:spacing w:line="26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2.投标人在编制投标文件时，对于给定格式的文件内容，必须按照给定的标准格式进行填报；对于没有给定标准格式的文件内容，可以由投标人自行设计。</w:t>
      </w:r>
    </w:p>
    <w:p>
      <w:pPr>
        <w:adjustRightInd w:val="0"/>
        <w:snapToGrid w:val="0"/>
        <w:spacing w:line="26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3.投标文件应用中文书写。投标文件中所附或所引用的材料不是中文时，应附中文译本，并加盖公章（自然人投标的，无需加盖单位公章，需要签字）。</w:t>
      </w:r>
    </w:p>
    <w:p>
      <w:pPr>
        <w:adjustRightInd w:val="0"/>
        <w:snapToGrid w:val="0"/>
        <w:spacing w:line="26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w:t>
      </w:r>
      <w:r>
        <w:rPr>
          <w:rFonts w:hint="eastAsia" w:ascii="仿宋_GB2312" w:hAnsi="仿宋" w:eastAsia="仿宋_GB2312" w:cs="仿宋_GB2312"/>
          <w:b/>
          <w:bCs/>
          <w:color w:val="000000" w:themeColor="text1"/>
          <w:sz w:val="24"/>
          <w14:textFill>
            <w14:solidFill>
              <w14:schemeClr w14:val="tx1"/>
            </w14:solidFill>
          </w14:textFill>
        </w:rPr>
        <w:t>“资格</w:t>
      </w:r>
      <w:r>
        <w:rPr>
          <w:rFonts w:hint="eastAsia" w:ascii="仿宋_GB2312" w:hAnsi="仿宋" w:eastAsia="仿宋_GB2312" w:cs="仿宋_GB2312"/>
          <w:b/>
          <w:color w:val="000000" w:themeColor="text1"/>
          <w:sz w:val="24"/>
          <w14:textFill>
            <w14:solidFill>
              <w14:schemeClr w14:val="tx1"/>
            </w14:solidFill>
          </w14:textFill>
        </w:rPr>
        <w:t>性</w:t>
      </w:r>
      <w:r>
        <w:rPr>
          <w:rFonts w:hint="eastAsia" w:ascii="仿宋_GB2312" w:hAnsi="仿宋" w:eastAsia="仿宋_GB2312" w:cs="仿宋_GB2312"/>
          <w:b/>
          <w:bCs/>
          <w:color w:val="000000" w:themeColor="text1"/>
          <w:sz w:val="24"/>
          <w14:textFill>
            <w14:solidFill>
              <w14:schemeClr w14:val="tx1"/>
            </w14:solidFill>
          </w14:textFill>
        </w:rPr>
        <w:t>证明材料”</w:t>
      </w:r>
      <w:r>
        <w:rPr>
          <w:rFonts w:hint="eastAsia" w:ascii="仿宋_GB2312" w:hAnsi="仿宋" w:eastAsia="仿宋_GB2312" w:cs="仿宋_GB2312"/>
          <w:color w:val="000000" w:themeColor="text1"/>
          <w:sz w:val="24"/>
          <w14:textFill>
            <w14:solidFill>
              <w14:schemeClr w14:val="tx1"/>
            </w14:solidFill>
          </w14:textFill>
        </w:rPr>
        <w:t>所列内容即为采购项目的资格性审查条件，有一项不符合要求，不能进入下一阶段评审。</w:t>
      </w:r>
    </w:p>
    <w:p>
      <w:pPr>
        <w:adjustRightInd w:val="0"/>
        <w:snapToGrid w:val="0"/>
        <w:spacing w:line="26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w:t>
      </w:r>
      <w:r>
        <w:rPr>
          <w:rFonts w:hint="eastAsia" w:ascii="仿宋_GB2312" w:hAnsi="仿宋" w:eastAsia="仿宋_GB2312" w:cs="仿宋_GB2312"/>
          <w:b/>
          <w:bCs/>
          <w:color w:val="000000" w:themeColor="text1"/>
          <w:sz w:val="24"/>
          <w14:textFill>
            <w14:solidFill>
              <w14:schemeClr w14:val="tx1"/>
            </w14:solidFill>
          </w14:textFill>
        </w:rPr>
        <w:t>“符合性证明材料”</w:t>
      </w:r>
      <w:r>
        <w:rPr>
          <w:rFonts w:hint="eastAsia" w:ascii="仿宋_GB2312" w:hAnsi="仿宋" w:eastAsia="仿宋_GB2312" w:cs="仿宋_GB2312"/>
          <w:color w:val="000000" w:themeColor="text1"/>
          <w:sz w:val="24"/>
          <w14:textFill>
            <w14:solidFill>
              <w14:schemeClr w14:val="tx1"/>
            </w14:solidFill>
          </w14:textFill>
        </w:rPr>
        <w:t>所列内容即为采购项目的符合性审查条件，有一项不符合要求，不能进入下一阶段评审。</w:t>
      </w:r>
    </w:p>
    <w:p>
      <w:pPr>
        <w:adjustRightInd w:val="0"/>
        <w:snapToGrid w:val="0"/>
        <w:spacing w:line="26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6.“其他材料”</w:t>
      </w:r>
    </w:p>
    <w:p>
      <w:pPr>
        <w:adjustRightInd w:val="0"/>
        <w:snapToGrid w:val="0"/>
        <w:spacing w:line="26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w:t>
      </w:r>
      <w:r>
        <w:rPr>
          <w:rFonts w:hint="eastAsia" w:ascii="仿宋_GB2312" w:hAnsi="仿宋" w:eastAsia="仿宋_GB2312" w:cs="仿宋_GB2312"/>
          <w:color w:val="000000" w:themeColor="text1"/>
          <w:kern w:val="0"/>
          <w:sz w:val="24"/>
          <w14:textFill>
            <w14:solidFill>
              <w14:schemeClr w14:val="tx1"/>
            </w14:solidFill>
          </w14:textFill>
        </w:rPr>
        <w:t>综合评分法：</w:t>
      </w:r>
      <w:r>
        <w:rPr>
          <w:rFonts w:hint="eastAsia" w:ascii="仿宋_GB2312" w:hAnsi="仿宋" w:eastAsia="仿宋_GB2312" w:cs="仿宋_GB2312"/>
          <w:color w:val="000000" w:themeColor="text1"/>
          <w:sz w:val="24"/>
          <w14:textFill>
            <w14:solidFill>
              <w14:schemeClr w14:val="tx1"/>
            </w14:solidFill>
          </w14:textFill>
        </w:rPr>
        <w:t>投标人可就</w:t>
      </w:r>
      <w:r>
        <w:rPr>
          <w:rFonts w:hint="eastAsia" w:ascii="仿宋_GB2312" w:hAnsi="仿宋" w:eastAsia="仿宋_GB2312" w:cs="仿宋_GB2312"/>
          <w:color w:val="000000" w:themeColor="text1"/>
          <w:kern w:val="0"/>
          <w:sz w:val="24"/>
          <w14:textFill>
            <w14:solidFill>
              <w14:schemeClr w14:val="tx1"/>
            </w14:solidFill>
          </w14:textFill>
        </w:rPr>
        <w:t>招标文件要求以及评分细则中各项要求提供相应材料。</w:t>
      </w:r>
    </w:p>
    <w:p>
      <w:pPr>
        <w:adjustRightInd w:val="0"/>
        <w:snapToGrid w:val="0"/>
        <w:spacing w:line="260" w:lineRule="exact"/>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w:t>
      </w:r>
      <w:r>
        <w:rPr>
          <w:rFonts w:hint="eastAsia" w:ascii="仿宋_GB2312" w:hAnsi="仿宋" w:eastAsia="仿宋_GB2312" w:cs="仿宋_GB2312"/>
          <w:color w:val="000000" w:themeColor="text1"/>
          <w:kern w:val="0"/>
          <w:sz w:val="24"/>
          <w14:textFill>
            <w14:solidFill>
              <w14:schemeClr w14:val="tx1"/>
            </w14:solidFill>
          </w14:textFill>
        </w:rPr>
        <w:t>最低评标价法：</w:t>
      </w:r>
      <w:r>
        <w:rPr>
          <w:rFonts w:hint="eastAsia" w:ascii="仿宋_GB2312" w:hAnsi="仿宋" w:eastAsia="仿宋_GB2312" w:cs="仿宋_GB2312"/>
          <w:color w:val="000000" w:themeColor="text1"/>
          <w:sz w:val="24"/>
          <w14:textFill>
            <w14:solidFill>
              <w14:schemeClr w14:val="tx1"/>
            </w14:solidFill>
          </w14:textFill>
        </w:rPr>
        <w:t>投标人可就</w:t>
      </w:r>
      <w:r>
        <w:rPr>
          <w:rFonts w:hint="eastAsia" w:ascii="仿宋_GB2312" w:hAnsi="仿宋" w:eastAsia="仿宋_GB2312" w:cs="仿宋_GB2312"/>
          <w:color w:val="000000" w:themeColor="text1"/>
          <w:kern w:val="0"/>
          <w:sz w:val="24"/>
          <w14:textFill>
            <w14:solidFill>
              <w14:schemeClr w14:val="tx1"/>
            </w14:solidFill>
          </w14:textFill>
        </w:rPr>
        <w:t>招标文件要求提供相应材料。</w:t>
      </w:r>
    </w:p>
    <w:p>
      <w:pPr>
        <w:pStyle w:val="3"/>
        <w:adjustRightInd w:val="0"/>
        <w:snapToGrid w:val="0"/>
        <w:spacing w:before="0" w:after="0" w:line="240" w:lineRule="auto"/>
        <w:jc w:val="left"/>
        <w:rPr>
          <w:rFonts w:ascii="仿宋_GB2312" w:hAnsi="仿宋" w:eastAsia="仿宋_GB2312" w:cs="仿宋_GB2312"/>
          <w:bCs/>
          <w:color w:val="000000" w:themeColor="text1"/>
          <w:szCs w:val="28"/>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br w:type="page"/>
      </w:r>
      <w:r>
        <w:rPr>
          <w:rFonts w:hint="eastAsia" w:ascii="仿宋_GB2312" w:hAnsi="仿宋" w:eastAsia="仿宋_GB2312" w:cs="仿宋_GB2312"/>
          <w:bCs/>
          <w:color w:val="000000" w:themeColor="text1"/>
          <w:szCs w:val="28"/>
          <w14:textFill>
            <w14:solidFill>
              <w14:schemeClr w14:val="tx1"/>
            </w14:solidFill>
          </w14:textFill>
        </w:rPr>
        <w:t>格式1</w:t>
      </w:r>
    </w:p>
    <w:p>
      <w:pPr>
        <w:spacing w:before="319" w:beforeLines="100" w:after="319" w:afterLines="100" w:line="360" w:lineRule="auto"/>
        <w:ind w:right="-21" w:rightChars="-10"/>
        <w:jc w:val="center"/>
        <w:rPr>
          <w:rFonts w:ascii="方正小标宋简体" w:hAnsi="仿宋" w:eastAsia="方正小标宋简体" w:cs="仿宋_GB2312"/>
          <w:color w:val="000000" w:themeColor="text1"/>
          <w:sz w:val="32"/>
          <w:szCs w:val="32"/>
          <w14:textFill>
            <w14:solidFill>
              <w14:schemeClr w14:val="tx1"/>
            </w14:solidFill>
          </w14:textFill>
        </w:rPr>
      </w:pPr>
      <w:bookmarkStart w:id="64" w:name="_Toc21090_WPSOffice_Level2"/>
      <w:bookmarkStart w:id="65" w:name="_Toc26322_WPSOffice_Level2"/>
      <w:r>
        <w:rPr>
          <w:rFonts w:hint="eastAsia" w:ascii="方正小标宋简体" w:hAnsi="仿宋" w:eastAsia="方正小标宋简体" w:cs="仿宋_GB2312"/>
          <w:color w:val="000000" w:themeColor="text1"/>
          <w:sz w:val="32"/>
          <w:szCs w:val="32"/>
          <w14:textFill>
            <w14:solidFill>
              <w14:schemeClr w14:val="tx1"/>
            </w14:solidFill>
          </w14:textFill>
        </w:rPr>
        <w:t>投标文件、电子文档外封面、封口格式</w:t>
      </w:r>
      <w:bookmarkEnd w:id="64"/>
      <w:bookmarkEnd w:id="65"/>
    </w:p>
    <w:p>
      <w:pPr>
        <w:ind w:firstLine="280" w:firstLineChars="100"/>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封面格式：</w:t>
      </w:r>
    </w:p>
    <w:tbl>
      <w:tblPr>
        <w:tblStyle w:val="20"/>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92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39" w:hRule="atLeast"/>
          <w:jc w:val="center"/>
        </w:trPr>
        <w:tc>
          <w:tcPr>
            <w:tcW w:w="7924" w:type="dxa"/>
          </w:tcPr>
          <w:p>
            <w:pPr>
              <w:jc w:val="center"/>
              <w:rPr>
                <w:rFonts w:ascii="仿宋_GB2312" w:hAnsi="仿宋" w:eastAsia="仿宋_GB2312" w:cs="仿宋_GB2312"/>
                <w:b/>
                <w:bCs/>
                <w:color w:val="000000" w:themeColor="text1"/>
                <w14:textFill>
                  <w14:solidFill>
                    <w14:schemeClr w14:val="tx1"/>
                  </w14:solidFill>
                </w14:textFill>
              </w:rPr>
            </w:pPr>
          </w:p>
          <w:p>
            <w:pPr>
              <w:jc w:val="center"/>
              <w:rPr>
                <w:rFonts w:ascii="仿宋_GB2312" w:hAnsi="仿宋" w:eastAsia="仿宋_GB2312" w:cs="仿宋_GB2312"/>
                <w:b/>
                <w:bCs/>
                <w:color w:val="000000" w:themeColor="text1"/>
                <w14:textFill>
                  <w14:solidFill>
                    <w14:schemeClr w14:val="tx1"/>
                  </w14:solidFill>
                </w14:textFill>
              </w:rPr>
            </w:pPr>
          </w:p>
          <w:p>
            <w:pPr>
              <w:jc w:val="center"/>
              <w:rPr>
                <w:rFonts w:ascii="仿宋_GB2312" w:hAnsi="仿宋" w:eastAsia="仿宋_GB2312" w:cs="仿宋_GB2312"/>
                <w:b/>
                <w:bCs/>
                <w:color w:val="000000" w:themeColor="text1"/>
                <w14:textFill>
                  <w14:solidFill>
                    <w14:schemeClr w14:val="tx1"/>
                  </w14:solidFill>
                </w14:textFill>
              </w:rPr>
            </w:pPr>
          </w:p>
          <w:p>
            <w:pPr>
              <w:jc w:val="center"/>
              <w:rPr>
                <w:rFonts w:ascii="仿宋_GB2312" w:hAnsi="仿宋" w:eastAsia="仿宋_GB2312" w:cs="仿宋_GB2312"/>
                <w:b/>
                <w:bCs/>
                <w:color w:val="000000" w:themeColor="text1"/>
                <w14:textFill>
                  <w14:solidFill>
                    <w14:schemeClr w14:val="tx1"/>
                  </w14:solidFill>
                </w14:textFill>
              </w:rPr>
            </w:pPr>
          </w:p>
          <w:p>
            <w:pPr>
              <w:jc w:val="center"/>
              <w:rPr>
                <w:rFonts w:ascii="仿宋_GB2312" w:hAnsi="仿宋" w:eastAsia="仿宋_GB2312" w:cs="仿宋_GB2312"/>
                <w:b/>
                <w:bCs/>
                <w:color w:val="000000" w:themeColor="text1"/>
                <w14:textFill>
                  <w14:solidFill>
                    <w14:schemeClr w14:val="tx1"/>
                  </w14:solidFill>
                </w14:textFill>
              </w:rPr>
            </w:pPr>
          </w:p>
          <w:p>
            <w:pPr>
              <w:jc w:val="center"/>
              <w:rPr>
                <w:rFonts w:ascii="黑体" w:hAnsi="黑体" w:eastAsia="黑体" w:cs="仿宋_GB2312"/>
                <w:b/>
                <w:bCs/>
                <w:color w:val="000000" w:themeColor="text1"/>
                <w:sz w:val="24"/>
                <w:szCs w:val="32"/>
                <w14:textFill>
                  <w14:solidFill>
                    <w14:schemeClr w14:val="tx1"/>
                  </w14:solidFill>
                </w14:textFill>
              </w:rPr>
            </w:pPr>
            <w:r>
              <w:rPr>
                <w:rFonts w:hint="eastAsia" w:ascii="黑体" w:hAnsi="黑体" w:eastAsia="黑体" w:cs="仿宋_GB2312"/>
                <w:b/>
                <w:bCs/>
                <w:color w:val="000000" w:themeColor="text1"/>
                <w:sz w:val="56"/>
                <w:szCs w:val="96"/>
                <w14:textFill>
                  <w14:solidFill>
                    <w14:schemeClr w14:val="tx1"/>
                  </w14:solidFill>
                </w14:textFill>
              </w:rPr>
              <w:t>投标文件/电子文档</w:t>
            </w:r>
          </w:p>
          <w:p>
            <w:pPr>
              <w:jc w:val="left"/>
              <w:rPr>
                <w:rFonts w:ascii="仿宋_GB2312" w:hAnsi="仿宋" w:eastAsia="仿宋_GB2312" w:cs="仿宋_GB2312"/>
                <w:color w:val="000000" w:themeColor="text1"/>
                <w14:textFill>
                  <w14:solidFill>
                    <w14:schemeClr w14:val="tx1"/>
                  </w14:solidFill>
                </w14:textFill>
              </w:rPr>
            </w:pPr>
          </w:p>
          <w:p>
            <w:pPr>
              <w:jc w:val="left"/>
              <w:rPr>
                <w:rFonts w:ascii="仿宋_GB2312" w:hAnsi="仿宋" w:eastAsia="仿宋_GB2312" w:cs="仿宋_GB2312"/>
                <w:color w:val="000000" w:themeColor="text1"/>
                <w14:textFill>
                  <w14:solidFill>
                    <w14:schemeClr w14:val="tx1"/>
                  </w14:solidFill>
                </w14:textFill>
              </w:rPr>
            </w:pPr>
          </w:p>
          <w:p>
            <w:pPr>
              <w:jc w:val="left"/>
              <w:rPr>
                <w:rFonts w:ascii="仿宋_GB2312" w:hAnsi="仿宋" w:eastAsia="仿宋_GB2312" w:cs="仿宋_GB2312"/>
                <w:color w:val="000000" w:themeColor="text1"/>
                <w14:textFill>
                  <w14:solidFill>
                    <w14:schemeClr w14:val="tx1"/>
                  </w14:solidFill>
                </w14:textFill>
              </w:rPr>
            </w:pPr>
          </w:p>
          <w:p>
            <w:pPr>
              <w:jc w:val="left"/>
              <w:rPr>
                <w:rFonts w:ascii="仿宋_GB2312" w:hAnsi="仿宋" w:eastAsia="仿宋_GB2312" w:cs="仿宋_GB2312"/>
                <w:color w:val="000000" w:themeColor="text1"/>
                <w14:textFill>
                  <w14:solidFill>
                    <w14:schemeClr w14:val="tx1"/>
                  </w14:solidFill>
                </w14:textFill>
              </w:rPr>
            </w:pPr>
          </w:p>
          <w:p>
            <w:pPr>
              <w:jc w:val="left"/>
              <w:rPr>
                <w:rFonts w:ascii="仿宋_GB2312" w:hAnsi="仿宋" w:eastAsia="仿宋_GB2312" w:cs="仿宋_GB2312"/>
                <w:color w:val="000000" w:themeColor="text1"/>
                <w14:textFill>
                  <w14:solidFill>
                    <w14:schemeClr w14:val="tx1"/>
                  </w14:solidFill>
                </w14:textFill>
              </w:rPr>
            </w:pPr>
          </w:p>
          <w:p>
            <w:pPr>
              <w:jc w:val="left"/>
              <w:rPr>
                <w:rFonts w:ascii="仿宋_GB2312" w:hAnsi="仿宋" w:eastAsia="仿宋_GB2312" w:cs="仿宋_GB2312"/>
                <w:color w:val="000000" w:themeColor="text1"/>
                <w14:textFill>
                  <w14:solidFill>
                    <w14:schemeClr w14:val="tx1"/>
                  </w14:solidFill>
                </w14:textFill>
              </w:rPr>
            </w:pPr>
          </w:p>
          <w:p>
            <w:pPr>
              <w:jc w:val="left"/>
              <w:rPr>
                <w:rFonts w:ascii="仿宋_GB2312" w:hAnsi="仿宋" w:eastAsia="仿宋_GB2312" w:cs="仿宋_GB2312"/>
                <w:color w:val="000000" w:themeColor="text1"/>
                <w14:textFill>
                  <w14:solidFill>
                    <w14:schemeClr w14:val="tx1"/>
                  </w14:solidFill>
                </w14:textFill>
              </w:rPr>
            </w:pPr>
          </w:p>
          <w:p>
            <w:pPr>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所投包号：第  包</w:t>
            </w:r>
          </w:p>
          <w:p>
            <w:pPr>
              <w:jc w:val="left"/>
              <w:rPr>
                <w:rFonts w:ascii="仿宋_GB2312" w:hAnsi="仿宋" w:eastAsia="仿宋_GB2312" w:cs="仿宋_GB2312"/>
                <w:color w:val="000000" w:themeColor="text1"/>
                <w:sz w:val="24"/>
                <w14:textFill>
                  <w14:solidFill>
                    <w14:schemeClr w14:val="tx1"/>
                  </w14:solidFill>
                </w14:textFill>
              </w:rPr>
            </w:pPr>
          </w:p>
          <w:p>
            <w:pPr>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项目名称：</w:t>
            </w:r>
          </w:p>
          <w:p>
            <w:pPr>
              <w:jc w:val="left"/>
              <w:rPr>
                <w:rFonts w:ascii="仿宋_GB2312" w:hAnsi="仿宋" w:eastAsia="仿宋_GB2312" w:cs="仿宋_GB2312"/>
                <w:color w:val="000000" w:themeColor="text1"/>
                <w:sz w:val="24"/>
                <w14:textFill>
                  <w14:solidFill>
                    <w14:schemeClr w14:val="tx1"/>
                  </w14:solidFill>
                </w14:textFill>
              </w:rPr>
            </w:pPr>
          </w:p>
          <w:p>
            <w:pPr>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项目编号：</w:t>
            </w:r>
          </w:p>
          <w:p>
            <w:pPr>
              <w:jc w:val="center"/>
              <w:rPr>
                <w:rFonts w:ascii="仿宋_GB2312" w:hAnsi="仿宋" w:eastAsia="仿宋_GB2312" w:cs="仿宋_GB2312"/>
                <w:color w:val="000000" w:themeColor="text1"/>
                <w:sz w:val="24"/>
                <w14:textFill>
                  <w14:solidFill>
                    <w14:schemeClr w14:val="tx1"/>
                  </w14:solidFill>
                </w14:textFill>
              </w:rPr>
            </w:pPr>
          </w:p>
          <w:p>
            <w:pPr>
              <w:jc w:val="center"/>
              <w:rPr>
                <w:rFonts w:ascii="仿宋_GB2312" w:hAnsi="仿宋" w:eastAsia="仿宋_GB2312" w:cs="仿宋_GB2312"/>
                <w:color w:val="000000" w:themeColor="text1"/>
                <w:sz w:val="24"/>
                <w14:textFill>
                  <w14:solidFill>
                    <w14:schemeClr w14:val="tx1"/>
                  </w14:solidFill>
                </w14:textFill>
              </w:rPr>
            </w:pPr>
          </w:p>
          <w:p>
            <w:pPr>
              <w:jc w:val="center"/>
              <w:rPr>
                <w:rFonts w:ascii="仿宋_GB2312" w:hAnsi="仿宋" w:eastAsia="仿宋_GB2312" w:cs="仿宋_GB2312"/>
                <w:color w:val="000000" w:themeColor="text1"/>
                <w:sz w:val="24"/>
                <w14:textFill>
                  <w14:solidFill>
                    <w14:schemeClr w14:val="tx1"/>
                  </w14:solidFill>
                </w14:textFill>
              </w:rPr>
            </w:pPr>
          </w:p>
          <w:p>
            <w:pPr>
              <w:jc w:val="left"/>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投标人名称（加盖单位公章）</w:t>
            </w:r>
          </w:p>
        </w:tc>
      </w:tr>
    </w:tbl>
    <w:p>
      <w:pPr>
        <w:rPr>
          <w:rFonts w:ascii="仿宋_GB2312" w:hAnsi="仿宋" w:eastAsia="仿宋_GB2312" w:cs="仿宋_GB2312"/>
          <w:color w:val="000000" w:themeColor="text1"/>
          <w14:textFill>
            <w14:solidFill>
              <w14:schemeClr w14:val="tx1"/>
            </w14:solidFill>
          </w14:textFill>
        </w:rPr>
      </w:pPr>
    </w:p>
    <w:p>
      <w:pPr>
        <w:rPr>
          <w:rFonts w:ascii="仿宋_GB2312" w:hAnsi="仿宋" w:eastAsia="仿宋_GB2312" w:cs="仿宋_GB2312"/>
          <w:color w:val="000000" w:themeColor="text1"/>
          <w14:textFill>
            <w14:solidFill>
              <w14:schemeClr w14:val="tx1"/>
            </w14:solidFill>
          </w14:textFill>
        </w:rPr>
      </w:pPr>
    </w:p>
    <w:p>
      <w:pPr>
        <w:ind w:firstLine="240" w:firstLineChars="100"/>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sz w:val="24"/>
          <w:szCs w:val="32"/>
          <w14:textFill>
            <w14:solidFill>
              <w14:schemeClr w14:val="tx1"/>
            </w14:solidFill>
          </w14:textFill>
        </w:rPr>
        <w:t>封口格式：</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80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——于</w:t>
            </w:r>
            <w:r>
              <w:rPr>
                <w:rFonts w:hint="eastAsia" w:ascii="仿宋_GB2312" w:eastAsia="仿宋_GB2312"/>
                <w:color w:val="000000" w:themeColor="text1"/>
                <w:sz w:val="24"/>
                <w14:textFill>
                  <w14:solidFill>
                    <w14:schemeClr w14:val="tx1"/>
                  </w14:solidFill>
                </w14:textFill>
              </w:rPr>
              <w:t>  </w:t>
            </w:r>
            <w:r>
              <w:rPr>
                <w:rFonts w:hint="eastAsia" w:ascii="仿宋_GB2312" w:hAnsi="仿宋" w:eastAsia="仿宋_GB2312" w:cs="仿宋_GB2312"/>
                <w:color w:val="000000" w:themeColor="text1"/>
                <w:sz w:val="24"/>
                <w14:textFill>
                  <w14:solidFill>
                    <w14:schemeClr w14:val="tx1"/>
                  </w14:solidFill>
                </w14:textFill>
              </w:rPr>
              <w:t xml:space="preserve"> 年</w:t>
            </w:r>
            <w:r>
              <w:rPr>
                <w:rFonts w:hint="eastAsia" w:ascii="仿宋_GB2312" w:eastAsia="仿宋_GB2312"/>
                <w:color w:val="000000" w:themeColor="text1"/>
                <w:sz w:val="24"/>
                <w14:textFill>
                  <w14:solidFill>
                    <w14:schemeClr w14:val="tx1"/>
                  </w14:solidFill>
                </w14:textFill>
              </w:rPr>
              <w:t> </w:t>
            </w:r>
            <w:r>
              <w:rPr>
                <w:rFonts w:hint="eastAsia" w:ascii="仿宋_GB2312" w:hAnsi="仿宋" w:eastAsia="仿宋_GB2312" w:cs="仿宋_GB2312"/>
                <w:color w:val="000000" w:themeColor="text1"/>
                <w:sz w:val="24"/>
                <w14:textFill>
                  <w14:solidFill>
                    <w14:schemeClr w14:val="tx1"/>
                  </w14:solidFill>
                </w14:textFill>
              </w:rPr>
              <w:t xml:space="preserve"> 月</w:t>
            </w:r>
            <w:r>
              <w:rPr>
                <w:rFonts w:hint="eastAsia" w:ascii="仿宋_GB2312" w:eastAsia="仿宋_GB2312"/>
                <w:color w:val="000000" w:themeColor="text1"/>
                <w:sz w:val="24"/>
                <w14:textFill>
                  <w14:solidFill>
                    <w14:schemeClr w14:val="tx1"/>
                  </w14:solidFill>
                </w14:textFill>
              </w:rPr>
              <w:t> </w:t>
            </w:r>
            <w:r>
              <w:rPr>
                <w:rFonts w:hint="eastAsia" w:ascii="仿宋_GB2312" w:hAnsi="仿宋" w:eastAsia="仿宋_GB2312" w:cs="仿宋_GB2312"/>
                <w:color w:val="000000" w:themeColor="text1"/>
                <w:sz w:val="24"/>
                <w14:textFill>
                  <w14:solidFill>
                    <w14:schemeClr w14:val="tx1"/>
                  </w14:solidFill>
                </w14:textFill>
              </w:rPr>
              <w:t xml:space="preserve"> 日</w:t>
            </w:r>
            <w:r>
              <w:rPr>
                <w:rFonts w:hint="eastAsia" w:ascii="仿宋_GB2312" w:eastAsia="仿宋_GB2312"/>
                <w:color w:val="000000" w:themeColor="text1"/>
                <w:sz w:val="24"/>
                <w14:textFill>
                  <w14:solidFill>
                    <w14:schemeClr w14:val="tx1"/>
                  </w14:solidFill>
                </w14:textFill>
              </w:rPr>
              <w:t>  </w:t>
            </w:r>
            <w:r>
              <w:rPr>
                <w:rFonts w:hint="eastAsia" w:ascii="仿宋_GB2312" w:hAnsi="仿宋" w:eastAsia="仿宋_GB2312" w:cs="仿宋_GB2312"/>
                <w:color w:val="000000" w:themeColor="text1"/>
                <w:sz w:val="24"/>
                <w14:textFill>
                  <w14:solidFill>
                    <w14:schemeClr w14:val="tx1"/>
                  </w14:solidFill>
                </w14:textFill>
              </w:rPr>
              <w:t xml:space="preserve"> 时之前不准启封（公章）——</w:t>
            </w:r>
          </w:p>
        </w:tc>
      </w:tr>
    </w:tbl>
    <w:p>
      <w:pPr>
        <w:rPr>
          <w:rFonts w:ascii="仿宋_GB2312" w:hAnsi="仿宋" w:eastAsia="仿宋_GB2312" w:cs="仿宋_GB2312"/>
          <w:color w:val="000000" w:themeColor="text1"/>
          <w14:textFill>
            <w14:solidFill>
              <w14:schemeClr w14:val="tx1"/>
            </w14:solidFill>
          </w14:textFill>
        </w:rPr>
      </w:pPr>
    </w:p>
    <w:p>
      <w:pPr>
        <w:pStyle w:val="3"/>
        <w:adjustRightInd w:val="0"/>
        <w:snapToGrid w:val="0"/>
        <w:spacing w:before="0" w:after="0" w:line="240" w:lineRule="auto"/>
        <w:jc w:val="left"/>
        <w:rPr>
          <w:rFonts w:ascii="仿宋_GB2312" w:hAnsi="仿宋" w:eastAsia="仿宋_GB2312" w:cs="仿宋_GB2312"/>
          <w:color w:val="000000" w:themeColor="text1"/>
          <w:szCs w:val="28"/>
          <w14:textFill>
            <w14:solidFill>
              <w14:schemeClr w14:val="tx1"/>
            </w14:solidFill>
          </w14:textFill>
        </w:rPr>
      </w:pPr>
      <w:r>
        <w:rPr>
          <w:rFonts w:hint="eastAsia" w:ascii="仿宋_GB2312" w:hAnsi="仿宋" w:eastAsia="仿宋_GB2312" w:cs="仿宋_GB2312"/>
          <w:color w:val="000000" w:themeColor="text1"/>
          <w:szCs w:val="28"/>
          <w14:textFill>
            <w14:solidFill>
              <w14:schemeClr w14:val="tx1"/>
            </w14:solidFill>
          </w14:textFill>
        </w:rPr>
        <w:t>格式2</w:t>
      </w:r>
    </w:p>
    <w:p>
      <w:pPr>
        <w:spacing w:before="319" w:beforeLines="100" w:after="319" w:afterLines="100" w:line="360" w:lineRule="auto"/>
        <w:ind w:right="-21" w:rightChars="-10"/>
        <w:jc w:val="center"/>
        <w:rPr>
          <w:rFonts w:ascii="方正小标宋简体" w:hAnsi="仿宋" w:eastAsia="方正小标宋简体" w:cs="仿宋_GB2312"/>
          <w:color w:val="000000" w:themeColor="text1"/>
          <w:sz w:val="32"/>
          <w:szCs w:val="32"/>
          <w14:textFill>
            <w14:solidFill>
              <w14:schemeClr w14:val="tx1"/>
            </w14:solidFill>
          </w14:textFill>
        </w:rPr>
      </w:pPr>
      <w:r>
        <w:rPr>
          <w:rFonts w:hint="eastAsia" w:ascii="方正小标宋简体" w:hAnsi="仿宋" w:eastAsia="方正小标宋简体"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3878580</wp:posOffset>
                </wp:positionH>
                <wp:positionV relativeFrom="paragraph">
                  <wp:posOffset>361315</wp:posOffset>
                </wp:positionV>
                <wp:extent cx="1253490" cy="563245"/>
                <wp:effectExtent l="5080" t="4445" r="8255" b="13335"/>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wrap="square" upright="1"/>
                    </wps:wsp>
                  </a:graphicData>
                </a:graphic>
              </wp:anchor>
            </w:drawing>
          </mc:Choice>
          <mc:Fallback>
            <w:pict>
              <v:shape id="_x0000_s1026" o:spid="_x0000_s1026" o:spt="202" type="#_x0000_t202" style="position:absolute;left:0pt;margin-left:305.4pt;margin-top:28.45pt;height:44.35pt;width:98.7pt;z-index:251659264;mso-width-relative:page;mso-height-relative:page;" fillcolor="#FFFFFF" filled="t" stroked="t" coordsize="21600,2160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1XXs+2QAAAAoB&#10;AAAPAAAAAAAAAAEAIAAAACIAAABkcnMvZG93bnJldi54bWxQSwECFAAUAAAACACHTuJAIeVfCRoC&#10;AABSBAAADgAAAAAAAAABACAAAAAoAQAAZHJzL2Uyb0RvYy54bWxQSwUGAAAAAAYABgBZAQAAtAUA&#10;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r>
        <w:rPr>
          <w:rFonts w:hint="eastAsia" w:ascii="方正小标宋简体" w:hAnsi="仿宋" w:eastAsia="方正小标宋简体" w:cs="仿宋_GB2312"/>
          <w:color w:val="000000" w:themeColor="text1"/>
          <w:sz w:val="32"/>
          <w:szCs w:val="32"/>
          <w14:textFill>
            <w14:solidFill>
              <w14:schemeClr w14:val="tx1"/>
            </w14:solidFill>
          </w14:textFill>
        </w:rPr>
        <w:t>投标文件的封皮</w:t>
      </w:r>
    </w:p>
    <w:p>
      <w:pPr>
        <w:rPr>
          <w:rFonts w:ascii="仿宋_GB2312" w:hAnsi="仿宋" w:eastAsia="仿宋_GB2312" w:cs="仿宋_GB2312"/>
          <w:color w:val="000000" w:themeColor="text1"/>
          <w14:textFill>
            <w14:solidFill>
              <w14:schemeClr w14:val="tx1"/>
            </w14:solidFill>
          </w14:textFill>
        </w:rPr>
      </w:pPr>
    </w:p>
    <w:p>
      <w:pPr>
        <w:rPr>
          <w:rFonts w:ascii="仿宋_GB2312" w:hAnsi="仿宋" w:eastAsia="仿宋_GB2312" w:cs="仿宋_GB2312"/>
          <w:color w:val="000000" w:themeColor="text1"/>
          <w14:textFill>
            <w14:solidFill>
              <w14:schemeClr w14:val="tx1"/>
            </w14:solidFill>
          </w14:textFill>
        </w:rPr>
      </w:pPr>
    </w:p>
    <w:p>
      <w:pPr>
        <w:rPr>
          <w:rFonts w:ascii="仿宋_GB2312" w:hAnsi="仿宋" w:eastAsia="仿宋_GB2312" w:cs="仿宋_GB2312"/>
          <w:color w:val="000000" w:themeColor="text1"/>
          <w14:textFill>
            <w14:solidFill>
              <w14:schemeClr w14:val="tx1"/>
            </w14:solidFill>
          </w14:textFill>
        </w:rPr>
      </w:pPr>
    </w:p>
    <w:p>
      <w:pPr>
        <w:rPr>
          <w:rFonts w:ascii="仿宋_GB2312" w:hAnsi="仿宋" w:eastAsia="仿宋_GB2312" w:cs="仿宋_GB2312"/>
          <w:color w:val="000000" w:themeColor="text1"/>
          <w14:textFill>
            <w14:solidFill>
              <w14:schemeClr w14:val="tx1"/>
            </w14:solidFill>
          </w14:textFill>
        </w:rPr>
      </w:pPr>
    </w:p>
    <w:p>
      <w:pPr>
        <w:rPr>
          <w:rFonts w:ascii="仿宋_GB2312" w:hAnsi="仿宋" w:eastAsia="仿宋_GB2312" w:cs="仿宋_GB2312"/>
          <w:color w:val="000000" w:themeColor="text1"/>
          <w14:textFill>
            <w14:solidFill>
              <w14:schemeClr w14:val="tx1"/>
            </w14:solidFill>
          </w14:textFill>
        </w:rPr>
      </w:pPr>
    </w:p>
    <w:p>
      <w:pPr>
        <w:rPr>
          <w:rFonts w:ascii="仿宋_GB2312" w:hAnsi="仿宋" w:eastAsia="仿宋_GB2312" w:cs="仿宋_GB2312"/>
          <w:color w:val="000000" w:themeColor="text1"/>
          <w14:textFill>
            <w14:solidFill>
              <w14:schemeClr w14:val="tx1"/>
            </w14:solidFill>
          </w14:textFill>
        </w:rPr>
      </w:pPr>
    </w:p>
    <w:p>
      <w:pPr>
        <w:jc w:val="center"/>
        <w:rPr>
          <w:rFonts w:ascii="黑体" w:hAnsi="黑体" w:eastAsia="黑体" w:cs="仿宋_GB2312"/>
          <w:b/>
          <w:bCs/>
          <w:color w:val="000000" w:themeColor="text1"/>
          <w:sz w:val="72"/>
          <w:szCs w:val="72"/>
          <w14:textFill>
            <w14:solidFill>
              <w14:schemeClr w14:val="tx1"/>
            </w14:solidFill>
          </w14:textFill>
        </w:rPr>
      </w:pPr>
      <w:r>
        <w:rPr>
          <w:rFonts w:hint="eastAsia" w:ascii="黑体" w:hAnsi="黑体" w:eastAsia="黑体" w:cs="仿宋_GB2312"/>
          <w:b/>
          <w:bCs/>
          <w:color w:val="000000" w:themeColor="text1"/>
          <w:sz w:val="72"/>
          <w:szCs w:val="72"/>
          <w14:textFill>
            <w14:solidFill>
              <w14:schemeClr w14:val="tx1"/>
            </w14:solidFill>
          </w14:textFill>
        </w:rPr>
        <w:t>投  标  文  件</w:t>
      </w:r>
    </w:p>
    <w:p>
      <w:pPr>
        <w:rPr>
          <w:rFonts w:ascii="仿宋_GB2312" w:hAnsi="仿宋" w:eastAsia="仿宋_GB2312" w:cs="仿宋_GB2312"/>
          <w:color w:val="000000" w:themeColor="text1"/>
          <w14:textFill>
            <w14:solidFill>
              <w14:schemeClr w14:val="tx1"/>
            </w14:solidFill>
          </w14:textFill>
        </w:rPr>
      </w:pPr>
    </w:p>
    <w:p>
      <w:pPr>
        <w:rPr>
          <w:rFonts w:ascii="仿宋_GB2312" w:hAnsi="仿宋" w:eastAsia="仿宋_GB2312" w:cs="仿宋_GB2312"/>
          <w:color w:val="000000" w:themeColor="text1"/>
          <w14:textFill>
            <w14:solidFill>
              <w14:schemeClr w14:val="tx1"/>
            </w14:solidFill>
          </w14:textFill>
        </w:rPr>
      </w:pPr>
    </w:p>
    <w:p>
      <w:pPr>
        <w:rPr>
          <w:rFonts w:ascii="仿宋_GB2312" w:hAnsi="仿宋" w:eastAsia="仿宋_GB2312" w:cs="仿宋_GB2312"/>
          <w:color w:val="000000" w:themeColor="text1"/>
          <w14:textFill>
            <w14:solidFill>
              <w14:schemeClr w14:val="tx1"/>
            </w14:solidFill>
          </w14:textFill>
        </w:rPr>
      </w:pPr>
    </w:p>
    <w:p>
      <w:pPr>
        <w:rPr>
          <w:rFonts w:ascii="仿宋_GB2312" w:hAnsi="仿宋" w:eastAsia="仿宋_GB2312" w:cs="仿宋_GB2312"/>
          <w:color w:val="000000" w:themeColor="text1"/>
          <w:sz w:val="28"/>
          <w:szCs w:val="28"/>
          <w14:textFill>
            <w14:solidFill>
              <w14:schemeClr w14:val="tx1"/>
            </w14:solidFill>
          </w14:textFill>
        </w:rPr>
      </w:pPr>
    </w:p>
    <w:p>
      <w:pPr>
        <w:rPr>
          <w:rFonts w:ascii="仿宋_GB2312" w:hAnsi="仿宋" w:eastAsia="仿宋_GB2312" w:cs="仿宋_GB2312"/>
          <w:color w:val="000000" w:themeColor="text1"/>
          <w:sz w:val="28"/>
          <w:szCs w:val="28"/>
          <w14:textFill>
            <w14:solidFill>
              <w14:schemeClr w14:val="tx1"/>
            </w14:solidFill>
          </w14:textFill>
        </w:rPr>
      </w:pPr>
    </w:p>
    <w:p>
      <w:pPr>
        <w:rPr>
          <w:rFonts w:ascii="仿宋_GB2312" w:hAnsi="仿宋" w:eastAsia="仿宋_GB2312" w:cs="仿宋_GB2312"/>
          <w:color w:val="000000" w:themeColor="text1"/>
          <w:sz w:val="28"/>
          <w:szCs w:val="28"/>
          <w14:textFill>
            <w14:solidFill>
              <w14:schemeClr w14:val="tx1"/>
            </w14:solidFill>
          </w14:textFill>
        </w:rPr>
      </w:pPr>
    </w:p>
    <w:p>
      <w:pPr>
        <w:rPr>
          <w:rFonts w:ascii="仿宋_GB2312" w:hAnsi="仿宋" w:eastAsia="仿宋_GB2312" w:cs="仿宋_GB2312"/>
          <w:color w:val="000000" w:themeColor="text1"/>
          <w:sz w:val="28"/>
          <w:szCs w:val="28"/>
          <w14:textFill>
            <w14:solidFill>
              <w14:schemeClr w14:val="tx1"/>
            </w14:solidFill>
          </w14:textFill>
        </w:rPr>
      </w:pPr>
    </w:p>
    <w:p>
      <w:pPr>
        <w:rPr>
          <w:rFonts w:ascii="仿宋_GB2312" w:hAnsi="仿宋" w:eastAsia="仿宋_GB2312" w:cs="仿宋_GB2312"/>
          <w:color w:val="000000" w:themeColor="text1"/>
          <w:sz w:val="28"/>
          <w:szCs w:val="28"/>
          <w14:textFill>
            <w14:solidFill>
              <w14:schemeClr w14:val="tx1"/>
            </w14:solidFill>
          </w14:textFill>
        </w:rPr>
      </w:pPr>
    </w:p>
    <w:p>
      <w:pPr>
        <w:rPr>
          <w:rFonts w:ascii="仿宋_GB2312" w:hAnsi="仿宋" w:eastAsia="仿宋_GB2312" w:cs="仿宋_GB2312"/>
          <w:color w:val="000000" w:themeColor="text1"/>
          <w:sz w:val="28"/>
          <w:szCs w:val="28"/>
          <w14:textFill>
            <w14:solidFill>
              <w14:schemeClr w14:val="tx1"/>
            </w14:solidFill>
          </w14:textFill>
        </w:rPr>
      </w:pPr>
    </w:p>
    <w:p>
      <w:pPr>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 xml:space="preserve">所投包号：第  </w:t>
      </w:r>
      <w:r>
        <w:rPr>
          <w:rFonts w:ascii="仿宋_GB2312" w:hAnsi="仿宋" w:eastAsia="仿宋_GB2312" w:cs="仿宋_GB2312"/>
          <w:color w:val="000000" w:themeColor="text1"/>
          <w:sz w:val="28"/>
          <w:szCs w:val="28"/>
          <w14:textFill>
            <w14:solidFill>
              <w14:schemeClr w14:val="tx1"/>
            </w14:solidFill>
          </w14:textFill>
        </w:rPr>
        <w:t xml:space="preserve"> </w:t>
      </w:r>
      <w:r>
        <w:rPr>
          <w:rFonts w:hint="eastAsia" w:ascii="仿宋_GB2312" w:hAnsi="仿宋" w:eastAsia="仿宋_GB2312" w:cs="仿宋_GB2312"/>
          <w:color w:val="000000" w:themeColor="text1"/>
          <w:sz w:val="28"/>
          <w:szCs w:val="28"/>
          <w14:textFill>
            <w14:solidFill>
              <w14:schemeClr w14:val="tx1"/>
            </w14:solidFill>
          </w14:textFill>
        </w:rPr>
        <w:t>包</w:t>
      </w:r>
    </w:p>
    <w:p>
      <w:pPr>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项目名称：</w:t>
      </w:r>
    </w:p>
    <w:p>
      <w:pPr>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项目编号：</w:t>
      </w:r>
    </w:p>
    <w:p>
      <w:pPr>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投标人名称 ：</w:t>
      </w:r>
    </w:p>
    <w:p>
      <w:pPr>
        <w:pStyle w:val="3"/>
        <w:adjustRightInd w:val="0"/>
        <w:snapToGrid w:val="0"/>
        <w:spacing w:before="0" w:after="0" w:line="240" w:lineRule="auto"/>
        <w:jc w:val="left"/>
        <w:rPr>
          <w:rFonts w:ascii="仿宋_GB2312" w:hAnsi="仿宋" w:eastAsia="仿宋_GB2312" w:cs="仿宋_GB2312"/>
          <w:color w:val="000000" w:themeColor="text1"/>
          <w:szCs w:val="28"/>
          <w14:textFill>
            <w14:solidFill>
              <w14:schemeClr w14:val="tx1"/>
            </w14:solidFill>
          </w14:textFill>
        </w:rPr>
      </w:pPr>
      <w:r>
        <w:rPr>
          <w:rFonts w:hint="eastAsia" w:ascii="仿宋_GB2312" w:hAnsi="仿宋" w:eastAsia="仿宋_GB2312" w:cs="仿宋_GB2312"/>
          <w:color w:val="000000" w:themeColor="text1"/>
          <w:szCs w:val="28"/>
          <w14:textFill>
            <w14:solidFill>
              <w14:schemeClr w14:val="tx1"/>
            </w14:solidFill>
          </w14:textFill>
        </w:rPr>
        <w:br w:type="page"/>
      </w:r>
      <w:r>
        <w:rPr>
          <w:rFonts w:hint="eastAsia" w:ascii="仿宋_GB2312" w:hAnsi="仿宋" w:eastAsia="仿宋_GB2312" w:cs="仿宋_GB2312"/>
          <w:color w:val="000000" w:themeColor="text1"/>
          <w:szCs w:val="28"/>
          <w14:textFill>
            <w14:solidFill>
              <w14:schemeClr w14:val="tx1"/>
            </w14:solidFill>
          </w14:textFill>
        </w:rPr>
        <w:t>格式3</w:t>
      </w:r>
    </w:p>
    <w:p>
      <w:pPr>
        <w:spacing w:before="319" w:beforeLines="100" w:after="319" w:afterLines="100" w:line="360" w:lineRule="auto"/>
        <w:ind w:right="-21" w:rightChars="-10"/>
        <w:jc w:val="center"/>
        <w:rPr>
          <w:rFonts w:ascii="方正小标宋简体" w:hAnsi="仿宋" w:eastAsia="方正小标宋简体" w:cs="仿宋_GB2312"/>
          <w:color w:val="000000" w:themeColor="text1"/>
          <w:sz w:val="32"/>
          <w:szCs w:val="32"/>
          <w14:textFill>
            <w14:solidFill>
              <w14:schemeClr w14:val="tx1"/>
            </w14:solidFill>
          </w14:textFill>
        </w:rPr>
      </w:pPr>
      <w:bookmarkStart w:id="66" w:name="_Toc21414_WPSOffice_Level2"/>
      <w:bookmarkStart w:id="67" w:name="_Toc2304_WPSOffice_Level2"/>
      <w:r>
        <w:rPr>
          <w:rFonts w:hint="eastAsia" w:ascii="方正小标宋简体" w:hAnsi="仿宋" w:eastAsia="方正小标宋简体" w:cs="仿宋_GB2312"/>
          <w:color w:val="000000" w:themeColor="text1"/>
          <w:sz w:val="32"/>
          <w:szCs w:val="32"/>
          <w14:textFill>
            <w14:solidFill>
              <w14:schemeClr w14:val="tx1"/>
            </w14:solidFill>
          </w14:textFill>
        </w:rPr>
        <w:t>目  录</w:t>
      </w:r>
      <w:bookmarkEnd w:id="66"/>
      <w:bookmarkEnd w:id="67"/>
    </w:p>
    <w:p>
      <w:pPr>
        <w:rPr>
          <w:rFonts w:ascii="仿宋_GB2312" w:hAnsi="仿宋" w:eastAsia="仿宋_GB2312" w:cs="仿宋_GB2312"/>
          <w:color w:val="000000" w:themeColor="text1"/>
          <w:sz w:val="24"/>
          <w:szCs w:val="32"/>
          <w14:textFill>
            <w14:solidFill>
              <w14:schemeClr w14:val="tx1"/>
            </w14:solidFill>
          </w14:textFill>
        </w:rPr>
      </w:pPr>
      <w:bookmarkStart w:id="68" w:name="_Toc7636_WPSOffice_Level2"/>
      <w:bookmarkStart w:id="69" w:name="_Toc30940_WPSOffice_Level2"/>
      <w:r>
        <w:rPr>
          <w:rFonts w:hint="eastAsia" w:ascii="仿宋_GB2312" w:hAnsi="仿宋" w:eastAsia="仿宋_GB2312" w:cs="仿宋_GB2312"/>
          <w:color w:val="000000" w:themeColor="text1"/>
          <w:sz w:val="24"/>
          <w:szCs w:val="32"/>
          <w14:textFill>
            <w14:solidFill>
              <w14:schemeClr w14:val="tx1"/>
            </w14:solidFill>
          </w14:textFill>
        </w:rPr>
        <w:t>一、资格性证明材料</w:t>
      </w:r>
    </w:p>
    <w:p>
      <w:pPr>
        <w:spacing w:line="300" w:lineRule="auto"/>
        <w:ind w:firstLine="420" w:firstLineChars="200"/>
        <w:rPr>
          <w:rFonts w:ascii="仿宋_GB2312" w:hAnsi="仿宋" w:eastAsia="仿宋_GB2312" w:cs="仿宋_GB2312"/>
          <w:color w:val="000000" w:themeColor="text1"/>
          <w14:textFill>
            <w14:solidFill>
              <w14:schemeClr w14:val="tx1"/>
            </w14:solidFill>
          </w14:textFill>
        </w:rPr>
      </w:pPr>
      <w:bookmarkStart w:id="70" w:name="_Hlk80971012"/>
      <w:r>
        <w:rPr>
          <w:rFonts w:hint="eastAsia" w:ascii="仿宋_GB2312" w:hAnsi="仿宋" w:eastAsia="仿宋_GB2312" w:cs="仿宋_GB2312"/>
          <w:color w:val="000000" w:themeColor="text1"/>
          <w14:textFill>
            <w14:solidFill>
              <w14:schemeClr w14:val="tx1"/>
            </w14:solidFill>
          </w14:textFill>
        </w:rPr>
        <w:t>1.1营业执照………………………………………………………………………所在页码</w:t>
      </w:r>
    </w:p>
    <w:p>
      <w:pPr>
        <w:spacing w:line="300" w:lineRule="auto"/>
        <w:ind w:firstLine="420" w:firstLineChars="200"/>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1.2法定代表人（或非法人组织负责人）身份证明书…………………………所在页码</w:t>
      </w:r>
    </w:p>
    <w:p>
      <w:pPr>
        <w:spacing w:line="300" w:lineRule="auto"/>
        <w:ind w:firstLine="420" w:firstLineChars="200"/>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1.3法定代表人（或非法人组织负责人）授权委托书…………………………所在页码</w:t>
      </w:r>
    </w:p>
    <w:p>
      <w:pPr>
        <w:spacing w:line="300" w:lineRule="auto"/>
        <w:ind w:firstLine="420" w:firstLineChars="200"/>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1.4商业信誉和健全的财务会计制度的承诺函…………………………………所在页码</w:t>
      </w:r>
    </w:p>
    <w:p>
      <w:pPr>
        <w:adjustRightInd w:val="0"/>
        <w:snapToGrid w:val="0"/>
        <w:spacing w:line="300" w:lineRule="auto"/>
        <w:ind w:firstLine="420" w:firstLineChars="200"/>
        <w:jc w:val="left"/>
        <w:rPr>
          <w:rFonts w:ascii="仿宋_GB2312" w:hAnsi="仿宋" w:eastAsia="仿宋_GB2312" w:cs="仿宋_GB2312"/>
          <w:color w:val="000000" w:themeColor="text1"/>
          <w:szCs w:val="21"/>
          <w14:textFill>
            <w14:solidFill>
              <w14:schemeClr w14:val="tx1"/>
            </w14:solidFill>
          </w14:textFill>
        </w:rPr>
      </w:pPr>
      <w:r>
        <w:rPr>
          <w:rFonts w:hint="eastAsia" w:ascii="仿宋_GB2312" w:hAnsi="仿宋" w:eastAsia="仿宋_GB2312" w:cs="仿宋_GB2312"/>
          <w:color w:val="000000" w:themeColor="text1"/>
          <w:szCs w:val="21"/>
          <w14:textFill>
            <w14:solidFill>
              <w14:schemeClr w14:val="tx1"/>
            </w14:solidFill>
          </w14:textFill>
        </w:rPr>
        <w:t>1.5开标时间前六个月内任一个月的依法缴纳税收的缴款凭据复印件</w:t>
      </w:r>
      <w:r>
        <w:rPr>
          <w:rFonts w:hint="eastAsia" w:ascii="仿宋_GB2312" w:hAnsi="仿宋" w:eastAsia="仿宋_GB2312" w:cs="仿宋_GB2312"/>
          <w:color w:val="000000" w:themeColor="text1"/>
          <w14:textFill>
            <w14:solidFill>
              <w14:schemeClr w14:val="tx1"/>
            </w14:solidFill>
          </w14:textFill>
        </w:rPr>
        <w:t>………所在页码</w:t>
      </w:r>
    </w:p>
    <w:p>
      <w:pPr>
        <w:adjustRightInd w:val="0"/>
        <w:snapToGrid w:val="0"/>
        <w:spacing w:line="300" w:lineRule="auto"/>
        <w:ind w:firstLine="420" w:firstLineChars="200"/>
        <w:jc w:val="left"/>
        <w:rPr>
          <w:rFonts w:ascii="仿宋_GB2312" w:hAnsi="仿宋" w:eastAsia="仿宋_GB2312" w:cs="仿宋_GB2312"/>
          <w:color w:val="000000" w:themeColor="text1"/>
          <w:szCs w:val="2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1.6</w:t>
      </w:r>
      <w:r>
        <w:rPr>
          <w:rFonts w:hint="eastAsia" w:ascii="仿宋_GB2312" w:hAnsi="仿宋" w:eastAsia="仿宋_GB2312" w:cs="仿宋_GB2312"/>
          <w:color w:val="000000" w:themeColor="text1"/>
          <w:szCs w:val="21"/>
          <w14:textFill>
            <w14:solidFill>
              <w14:schemeClr w14:val="tx1"/>
            </w14:solidFill>
          </w14:textFill>
        </w:rPr>
        <w:t>开标时间前六个月内任一个月的依法缴纳社会保障资金的缴款凭据</w:t>
      </w:r>
    </w:p>
    <w:p>
      <w:pPr>
        <w:adjustRightInd w:val="0"/>
        <w:snapToGrid w:val="0"/>
        <w:spacing w:line="300" w:lineRule="auto"/>
        <w:ind w:firstLine="840" w:firstLineChars="400"/>
        <w:jc w:val="left"/>
        <w:rPr>
          <w:rFonts w:ascii="仿宋_GB2312" w:hAnsi="仿宋" w:eastAsia="仿宋_GB2312" w:cs="仿宋_GB2312"/>
          <w:color w:val="000000" w:themeColor="text1"/>
          <w:szCs w:val="21"/>
          <w14:textFill>
            <w14:solidFill>
              <w14:schemeClr w14:val="tx1"/>
            </w14:solidFill>
          </w14:textFill>
        </w:rPr>
      </w:pPr>
      <w:r>
        <w:rPr>
          <w:rFonts w:hint="eastAsia" w:ascii="仿宋_GB2312" w:hAnsi="仿宋" w:eastAsia="仿宋_GB2312" w:cs="仿宋_GB2312"/>
          <w:color w:val="000000" w:themeColor="text1"/>
          <w:szCs w:val="21"/>
          <w14:textFill>
            <w14:solidFill>
              <w14:schemeClr w14:val="tx1"/>
            </w14:solidFill>
          </w14:textFill>
        </w:rPr>
        <w:t>复印件</w:t>
      </w:r>
      <w:r>
        <w:rPr>
          <w:rFonts w:hint="eastAsia" w:ascii="仿宋_GB2312" w:hAnsi="仿宋" w:eastAsia="仿宋_GB2312" w:cs="仿宋_GB2312"/>
          <w:color w:val="000000" w:themeColor="text1"/>
          <w14:textFill>
            <w14:solidFill>
              <w14:schemeClr w14:val="tx1"/>
            </w14:solidFill>
          </w14:textFill>
        </w:rPr>
        <w:t>…………………………………………………………………………所在页码</w:t>
      </w:r>
    </w:p>
    <w:p>
      <w:pPr>
        <w:spacing w:line="300" w:lineRule="auto"/>
        <w:ind w:firstLine="420" w:firstLineChars="200"/>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1.7</w:t>
      </w:r>
      <w:r>
        <w:rPr>
          <w:rFonts w:hint="eastAsia" w:ascii="仿宋_GB2312" w:hAnsi="仿宋" w:eastAsia="仿宋_GB2312" w:cs="仿宋_GB2312"/>
          <w:color w:val="000000" w:themeColor="text1"/>
          <w:szCs w:val="21"/>
          <w14:textFill>
            <w14:solidFill>
              <w14:schemeClr w14:val="tx1"/>
            </w14:solidFill>
          </w14:textFill>
        </w:rPr>
        <w:t>履行合同所必需的设备和专业技术能力声明函</w:t>
      </w:r>
      <w:r>
        <w:rPr>
          <w:rFonts w:hint="eastAsia" w:ascii="仿宋_GB2312" w:hAnsi="仿宋" w:eastAsia="仿宋_GB2312" w:cs="仿宋_GB2312"/>
          <w:color w:val="000000" w:themeColor="text1"/>
          <w14:textFill>
            <w14:solidFill>
              <w14:schemeClr w14:val="tx1"/>
            </w14:solidFill>
          </w14:textFill>
        </w:rPr>
        <w:t>……………………………所在页码</w:t>
      </w:r>
    </w:p>
    <w:p>
      <w:pPr>
        <w:spacing w:line="300" w:lineRule="auto"/>
        <w:ind w:left="420" w:leftChars="200"/>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1.8</w:t>
      </w:r>
      <w:r>
        <w:rPr>
          <w:rFonts w:hint="eastAsia" w:ascii="仿宋_GB2312" w:hAnsi="仿宋" w:eastAsia="仿宋_GB2312" w:cs="仿宋_GB2312"/>
          <w:color w:val="000000" w:themeColor="text1"/>
          <w:szCs w:val="21"/>
          <w14:textFill>
            <w14:solidFill>
              <w14:schemeClr w14:val="tx1"/>
            </w14:solidFill>
          </w14:textFill>
        </w:rPr>
        <w:t>政府采购活动前3年内在经营活动中没有重大违法记录的书面声明</w:t>
      </w:r>
      <w:r>
        <w:rPr>
          <w:rFonts w:hint="eastAsia" w:ascii="仿宋_GB2312" w:hAnsi="仿宋" w:eastAsia="仿宋_GB2312" w:cs="仿宋_GB2312"/>
          <w:color w:val="000000" w:themeColor="text1"/>
          <w14:textFill>
            <w14:solidFill>
              <w14:schemeClr w14:val="tx1"/>
            </w14:solidFill>
          </w14:textFill>
        </w:rPr>
        <w:t>……所在页码</w:t>
      </w:r>
    </w:p>
    <w:p>
      <w:pPr>
        <w:spacing w:line="300" w:lineRule="auto"/>
        <w:ind w:left="420" w:leftChars="200"/>
        <w:rPr>
          <w:rFonts w:ascii="仿宋_GB2312" w:hAnsi="仿宋" w:eastAsia="仿宋_GB2312" w:cs="仿宋_GB2312"/>
          <w:color w:val="000000" w:themeColor="text1"/>
          <w:szCs w:val="21"/>
          <w14:textFill>
            <w14:solidFill>
              <w14:schemeClr w14:val="tx1"/>
            </w14:solidFill>
          </w14:textFill>
        </w:rPr>
      </w:pPr>
      <w:r>
        <w:rPr>
          <w:rFonts w:hint="eastAsia" w:ascii="仿宋_GB2312" w:hAnsi="仿宋" w:eastAsia="仿宋_GB2312" w:cs="仿宋_GB2312"/>
          <w:color w:val="000000" w:themeColor="text1"/>
          <w:szCs w:val="21"/>
          <w14:textFill>
            <w14:solidFill>
              <w14:schemeClr w14:val="tx1"/>
            </w14:solidFill>
          </w14:textFill>
        </w:rPr>
        <w:t>1.9联合体协议书（002包 如有）.....................................</w:t>
      </w:r>
      <w:r>
        <w:rPr>
          <w:rFonts w:hint="eastAsia" w:ascii="仿宋_GB2312" w:hAnsi="仿宋" w:eastAsia="仿宋_GB2312" w:cs="仿宋_GB2312"/>
          <w:color w:val="000000" w:themeColor="text1"/>
          <w14:textFill>
            <w14:solidFill>
              <w14:schemeClr w14:val="tx1"/>
            </w14:solidFill>
          </w14:textFill>
        </w:rPr>
        <w:t>所在页码</w:t>
      </w:r>
    </w:p>
    <w:bookmarkEnd w:id="70"/>
    <w:p>
      <w:pPr>
        <w:rPr>
          <w:rFonts w:ascii="仿宋_GB2312" w:hAnsi="仿宋" w:eastAsia="仿宋_GB2312" w:cs="仿宋_GB2312"/>
          <w:color w:val="000000" w:themeColor="text1"/>
          <w:sz w:val="24"/>
          <w:szCs w:val="32"/>
          <w14:textFill>
            <w14:solidFill>
              <w14:schemeClr w14:val="tx1"/>
            </w14:solidFill>
          </w14:textFill>
        </w:rPr>
      </w:pPr>
      <w:r>
        <w:rPr>
          <w:rFonts w:hint="eastAsia" w:ascii="仿宋_GB2312" w:hAnsi="仿宋" w:eastAsia="仿宋_GB2312" w:cs="仿宋_GB2312"/>
          <w:color w:val="000000" w:themeColor="text1"/>
          <w:sz w:val="24"/>
          <w:szCs w:val="32"/>
          <w14:textFill>
            <w14:solidFill>
              <w14:schemeClr w14:val="tx1"/>
            </w14:solidFill>
          </w14:textFill>
        </w:rPr>
        <w:t>二、符合性证明材料</w:t>
      </w:r>
    </w:p>
    <w:p>
      <w:pPr>
        <w:spacing w:line="300" w:lineRule="auto"/>
        <w:ind w:firstLine="420" w:firstLineChars="200"/>
        <w:rPr>
          <w:rFonts w:ascii="仿宋_GB2312" w:hAnsi="仿宋" w:eastAsia="仿宋_GB2312" w:cs="仿宋_GB2312"/>
          <w:color w:val="000000" w:themeColor="text1"/>
          <w:kern w:val="0"/>
          <w:szCs w:val="21"/>
          <w14:textFill>
            <w14:solidFill>
              <w14:schemeClr w14:val="tx1"/>
            </w14:solidFill>
          </w14:textFill>
        </w:rPr>
      </w:pPr>
      <w:bookmarkStart w:id="71" w:name="_Hlk80971027"/>
      <w:r>
        <w:rPr>
          <w:rFonts w:hint="eastAsia" w:ascii="仿宋_GB2312" w:hAnsi="仿宋" w:eastAsia="仿宋_GB2312" w:cs="仿宋_GB2312"/>
          <w:color w:val="000000" w:themeColor="text1"/>
          <w14:textFill>
            <w14:solidFill>
              <w14:schemeClr w14:val="tx1"/>
            </w14:solidFill>
          </w14:textFill>
        </w:rPr>
        <w:t>2.1</w:t>
      </w:r>
      <w:r>
        <w:rPr>
          <w:rFonts w:hint="eastAsia" w:ascii="仿宋_GB2312" w:hAnsi="仿宋" w:eastAsia="仿宋_GB2312" w:cs="仿宋_GB2312"/>
          <w:color w:val="000000" w:themeColor="text1"/>
          <w:kern w:val="0"/>
          <w:szCs w:val="21"/>
          <w14:textFill>
            <w14:solidFill>
              <w14:schemeClr w14:val="tx1"/>
            </w14:solidFill>
          </w14:textFill>
        </w:rPr>
        <w:t>投标函</w:t>
      </w:r>
      <w:r>
        <w:rPr>
          <w:rFonts w:hint="eastAsia" w:ascii="仿宋_GB2312" w:hAnsi="仿宋" w:eastAsia="仿宋_GB2312" w:cs="仿宋_GB2312"/>
          <w:color w:val="000000" w:themeColor="text1"/>
          <w14:textFill>
            <w14:solidFill>
              <w14:schemeClr w14:val="tx1"/>
            </w14:solidFill>
          </w14:textFill>
        </w:rPr>
        <w:t>…………………………………………………………………………所在页码</w:t>
      </w:r>
    </w:p>
    <w:p>
      <w:pPr>
        <w:spacing w:line="300" w:lineRule="auto"/>
        <w:ind w:firstLine="420" w:firstLineChars="200"/>
        <w:rPr>
          <w:rFonts w:ascii="仿宋_GB2312" w:hAnsi="仿宋" w:eastAsia="仿宋_GB2312" w:cs="仿宋_GB2312"/>
          <w:color w:val="000000" w:themeColor="text1"/>
          <w:kern w:val="0"/>
          <w:szCs w:val="21"/>
          <w14:textFill>
            <w14:solidFill>
              <w14:schemeClr w14:val="tx1"/>
            </w14:solidFill>
          </w14:textFill>
        </w:rPr>
      </w:pPr>
      <w:r>
        <w:rPr>
          <w:rFonts w:hint="eastAsia" w:ascii="仿宋_GB2312" w:hAnsi="仿宋" w:eastAsia="仿宋_GB2312" w:cs="仿宋_GB2312"/>
          <w:color w:val="000000" w:themeColor="text1"/>
          <w:kern w:val="0"/>
          <w:szCs w:val="21"/>
          <w14:textFill>
            <w14:solidFill>
              <w14:schemeClr w14:val="tx1"/>
            </w14:solidFill>
          </w14:textFill>
        </w:rPr>
        <w:t>2.2递交投标保证金证明</w:t>
      </w:r>
      <w:r>
        <w:rPr>
          <w:rFonts w:hint="eastAsia" w:ascii="仿宋_GB2312" w:hAnsi="仿宋" w:eastAsia="仿宋_GB2312" w:cs="仿宋_GB2312"/>
          <w:color w:val="000000" w:themeColor="text1"/>
          <w14:textFill>
            <w14:solidFill>
              <w14:schemeClr w14:val="tx1"/>
            </w14:solidFill>
          </w14:textFill>
        </w:rPr>
        <w:t>…………………………………………………………所在页码</w:t>
      </w:r>
    </w:p>
    <w:p>
      <w:pPr>
        <w:spacing w:line="300" w:lineRule="auto"/>
        <w:ind w:firstLine="420" w:firstLineChars="200"/>
        <w:rPr>
          <w:rFonts w:ascii="仿宋_GB2312" w:hAnsi="仿宋" w:eastAsia="仿宋_GB2312" w:cs="仿宋_GB2312"/>
          <w:color w:val="000000" w:themeColor="text1"/>
          <w:kern w:val="0"/>
          <w:szCs w:val="21"/>
          <w14:textFill>
            <w14:solidFill>
              <w14:schemeClr w14:val="tx1"/>
            </w14:solidFill>
          </w14:textFill>
        </w:rPr>
      </w:pPr>
      <w:r>
        <w:rPr>
          <w:rFonts w:hint="eastAsia" w:ascii="仿宋_GB2312" w:hAnsi="仿宋" w:eastAsia="仿宋_GB2312" w:cs="仿宋_GB2312"/>
          <w:color w:val="000000" w:themeColor="text1"/>
          <w:kern w:val="0"/>
          <w:szCs w:val="21"/>
          <w14:textFill>
            <w14:solidFill>
              <w14:schemeClr w14:val="tx1"/>
            </w14:solidFill>
          </w14:textFill>
        </w:rPr>
        <w:t>2.3开标一览表</w:t>
      </w:r>
      <w:r>
        <w:rPr>
          <w:rFonts w:hint="eastAsia" w:ascii="仿宋_GB2312" w:hAnsi="仿宋" w:eastAsia="仿宋_GB2312" w:cs="仿宋_GB2312"/>
          <w:color w:val="000000" w:themeColor="text1"/>
          <w14:textFill>
            <w14:solidFill>
              <w14:schemeClr w14:val="tx1"/>
            </w14:solidFill>
          </w14:textFill>
        </w:rPr>
        <w:t>……………………………………………………………………所在页码</w:t>
      </w:r>
    </w:p>
    <w:p>
      <w:pPr>
        <w:spacing w:line="300" w:lineRule="auto"/>
        <w:ind w:firstLine="420" w:firstLineChars="200"/>
        <w:rPr>
          <w:rFonts w:ascii="仿宋_GB2312" w:hAnsi="仿宋" w:eastAsia="仿宋_GB2312" w:cs="仿宋_GB2312"/>
          <w:color w:val="000000" w:themeColor="text1"/>
          <w:kern w:val="0"/>
          <w:szCs w:val="21"/>
          <w14:textFill>
            <w14:solidFill>
              <w14:schemeClr w14:val="tx1"/>
            </w14:solidFill>
          </w14:textFill>
        </w:rPr>
      </w:pPr>
      <w:r>
        <w:rPr>
          <w:rFonts w:hint="eastAsia" w:ascii="仿宋_GB2312" w:hAnsi="仿宋" w:eastAsia="仿宋_GB2312" w:cs="仿宋_GB2312"/>
          <w:color w:val="000000" w:themeColor="text1"/>
          <w:kern w:val="0"/>
          <w:szCs w:val="21"/>
          <w14:textFill>
            <w14:solidFill>
              <w14:schemeClr w14:val="tx1"/>
            </w14:solidFill>
          </w14:textFill>
        </w:rPr>
        <w:t>2.4服务价格明细表</w:t>
      </w:r>
      <w:r>
        <w:rPr>
          <w:rFonts w:hint="eastAsia" w:ascii="仿宋_GB2312" w:hAnsi="仿宋" w:eastAsia="仿宋_GB2312" w:cs="仿宋_GB2312"/>
          <w:color w:val="000000" w:themeColor="text1"/>
          <w14:textFill>
            <w14:solidFill>
              <w14:schemeClr w14:val="tx1"/>
            </w14:solidFill>
          </w14:textFill>
        </w:rPr>
        <w:t>………………………………………………………………所在页码</w:t>
      </w:r>
    </w:p>
    <w:p>
      <w:pPr>
        <w:spacing w:line="300" w:lineRule="auto"/>
        <w:ind w:firstLine="420" w:firstLineChars="200"/>
        <w:rPr>
          <w:rFonts w:ascii="仿宋_GB2312" w:hAnsi="仿宋" w:eastAsia="仿宋_GB2312" w:cs="仿宋_GB2312"/>
          <w:color w:val="000000" w:themeColor="text1"/>
          <w:kern w:val="0"/>
          <w:szCs w:val="21"/>
          <w14:textFill>
            <w14:solidFill>
              <w14:schemeClr w14:val="tx1"/>
            </w14:solidFill>
          </w14:textFill>
        </w:rPr>
      </w:pPr>
      <w:r>
        <w:rPr>
          <w:rFonts w:hint="eastAsia" w:ascii="仿宋_GB2312" w:hAnsi="仿宋" w:eastAsia="仿宋_GB2312" w:cs="仿宋_GB2312"/>
          <w:color w:val="000000" w:themeColor="text1"/>
          <w:kern w:val="0"/>
          <w:szCs w:val="21"/>
          <w14:textFill>
            <w14:solidFill>
              <w14:schemeClr w14:val="tx1"/>
            </w14:solidFill>
          </w14:textFill>
        </w:rPr>
        <w:t>2.5服务需求响应表</w:t>
      </w:r>
      <w:r>
        <w:rPr>
          <w:rFonts w:hint="eastAsia" w:ascii="仿宋_GB2312" w:hAnsi="仿宋" w:eastAsia="仿宋_GB2312" w:cs="仿宋_GB2312"/>
          <w:color w:val="000000" w:themeColor="text1"/>
          <w14:textFill>
            <w14:solidFill>
              <w14:schemeClr w14:val="tx1"/>
            </w14:solidFill>
          </w14:textFill>
        </w:rPr>
        <w:t>………………………………………………………………所在页码</w:t>
      </w:r>
    </w:p>
    <w:p>
      <w:pPr>
        <w:spacing w:line="300" w:lineRule="auto"/>
        <w:ind w:firstLine="420" w:firstLineChars="200"/>
        <w:rPr>
          <w:rFonts w:ascii="仿宋_GB2312" w:hAnsi="仿宋" w:eastAsia="仿宋_GB2312" w:cs="仿宋_GB2312"/>
          <w:color w:val="000000" w:themeColor="text1"/>
          <w:kern w:val="0"/>
          <w:szCs w:val="21"/>
          <w14:textFill>
            <w14:solidFill>
              <w14:schemeClr w14:val="tx1"/>
            </w14:solidFill>
          </w14:textFill>
        </w:rPr>
      </w:pPr>
      <w:r>
        <w:rPr>
          <w:rFonts w:hint="eastAsia" w:ascii="仿宋_GB2312" w:hAnsi="仿宋" w:eastAsia="仿宋_GB2312" w:cs="仿宋_GB2312"/>
          <w:color w:val="000000" w:themeColor="text1"/>
          <w:kern w:val="0"/>
          <w:szCs w:val="21"/>
          <w14:textFill>
            <w14:solidFill>
              <w14:schemeClr w14:val="tx1"/>
            </w14:solidFill>
          </w14:textFill>
        </w:rPr>
        <w:t>2.6商务条款偏离表</w:t>
      </w:r>
      <w:r>
        <w:rPr>
          <w:rFonts w:hint="eastAsia" w:ascii="仿宋_GB2312" w:hAnsi="仿宋" w:eastAsia="仿宋_GB2312" w:cs="仿宋_GB2312"/>
          <w:color w:val="000000" w:themeColor="text1"/>
          <w14:textFill>
            <w14:solidFill>
              <w14:schemeClr w14:val="tx1"/>
            </w14:solidFill>
          </w14:textFill>
        </w:rPr>
        <w:t>………………………………………………………………所在页码</w:t>
      </w:r>
    </w:p>
    <w:p>
      <w:pPr>
        <w:spacing w:line="300" w:lineRule="auto"/>
        <w:ind w:firstLine="420" w:firstLineChars="200"/>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kern w:val="0"/>
          <w:szCs w:val="21"/>
          <w14:textFill>
            <w14:solidFill>
              <w14:schemeClr w14:val="tx1"/>
            </w14:solidFill>
          </w14:textFill>
        </w:rPr>
        <w:t>2.7投标人关联单位说明</w:t>
      </w:r>
      <w:r>
        <w:rPr>
          <w:rFonts w:hint="eastAsia" w:ascii="仿宋_GB2312" w:hAnsi="仿宋" w:eastAsia="仿宋_GB2312" w:cs="仿宋_GB2312"/>
          <w:color w:val="000000" w:themeColor="text1"/>
          <w14:textFill>
            <w14:solidFill>
              <w14:schemeClr w14:val="tx1"/>
            </w14:solidFill>
          </w14:textFill>
        </w:rPr>
        <w:t>…………………………………………………………所在页码</w:t>
      </w:r>
    </w:p>
    <w:p>
      <w:pPr>
        <w:spacing w:line="300" w:lineRule="auto"/>
        <w:ind w:firstLine="420" w:firstLineChars="200"/>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kern w:val="0"/>
          <w:szCs w:val="21"/>
          <w14:textFill>
            <w14:solidFill>
              <w14:schemeClr w14:val="tx1"/>
            </w14:solidFill>
          </w14:textFill>
        </w:rPr>
        <w:t>2.8投标文件一致性承诺函</w:t>
      </w:r>
      <w:r>
        <w:rPr>
          <w:rFonts w:hint="eastAsia" w:ascii="仿宋_GB2312" w:hAnsi="仿宋" w:eastAsia="仿宋_GB2312" w:cs="仿宋_GB2312"/>
          <w:color w:val="000000" w:themeColor="text1"/>
          <w14:textFill>
            <w14:solidFill>
              <w14:schemeClr w14:val="tx1"/>
            </w14:solidFill>
          </w14:textFill>
        </w:rPr>
        <w:t>………………………………………………………所在页码</w:t>
      </w:r>
    </w:p>
    <w:bookmarkEnd w:id="68"/>
    <w:bookmarkEnd w:id="69"/>
    <w:bookmarkEnd w:id="71"/>
    <w:p>
      <w:pPr>
        <w:rPr>
          <w:rFonts w:ascii="仿宋_GB2312" w:hAnsi="仿宋" w:eastAsia="仿宋_GB2312" w:cs="仿宋_GB2312"/>
          <w:color w:val="000000" w:themeColor="text1"/>
          <w:sz w:val="24"/>
          <w:szCs w:val="32"/>
          <w14:textFill>
            <w14:solidFill>
              <w14:schemeClr w14:val="tx1"/>
            </w14:solidFill>
          </w14:textFill>
        </w:rPr>
      </w:pPr>
      <w:bookmarkStart w:id="72" w:name="_Toc9090_WPSOffice_Level2"/>
      <w:bookmarkStart w:id="73" w:name="_Toc14854_WPSOffice_Level2"/>
      <w:r>
        <w:rPr>
          <w:rFonts w:hint="eastAsia" w:ascii="仿宋_GB2312" w:hAnsi="仿宋" w:eastAsia="仿宋_GB2312" w:cs="仿宋_GB2312"/>
          <w:color w:val="000000" w:themeColor="text1"/>
          <w:sz w:val="24"/>
          <w:szCs w:val="32"/>
          <w14:textFill>
            <w14:solidFill>
              <w14:schemeClr w14:val="tx1"/>
            </w14:solidFill>
          </w14:textFill>
        </w:rPr>
        <w:t>三、其它材料</w:t>
      </w:r>
      <w:bookmarkEnd w:id="72"/>
      <w:bookmarkEnd w:id="73"/>
      <w:r>
        <w:rPr>
          <w:rFonts w:hint="eastAsia" w:ascii="仿宋_GB2312" w:hAnsi="仿宋" w:eastAsia="仿宋_GB2312" w:cs="仿宋_GB2312"/>
          <w:color w:val="000000" w:themeColor="text1"/>
          <w:sz w:val="24"/>
          <w:szCs w:val="32"/>
          <w14:textFill>
            <w14:solidFill>
              <w14:schemeClr w14:val="tx1"/>
            </w14:solidFill>
          </w14:textFill>
        </w:rPr>
        <w:t>（投标人</w:t>
      </w:r>
      <w:r>
        <w:rPr>
          <w:rFonts w:ascii="仿宋_GB2312" w:hAnsi="仿宋" w:eastAsia="仿宋_GB2312" w:cs="仿宋_GB2312"/>
          <w:color w:val="000000" w:themeColor="text1"/>
          <w:sz w:val="24"/>
          <w:szCs w:val="32"/>
          <w14:textFill>
            <w14:solidFill>
              <w14:schemeClr w14:val="tx1"/>
            </w14:solidFill>
          </w14:textFill>
        </w:rPr>
        <w:t>基本情况</w:t>
      </w:r>
      <w:r>
        <w:rPr>
          <w:rFonts w:hint="eastAsia" w:ascii="仿宋_GB2312" w:hAnsi="仿宋" w:eastAsia="仿宋_GB2312" w:cs="仿宋_GB2312"/>
          <w:color w:val="000000" w:themeColor="text1"/>
          <w:sz w:val="24"/>
          <w:szCs w:val="32"/>
          <w14:textFill>
            <w14:solidFill>
              <w14:schemeClr w14:val="tx1"/>
            </w14:solidFill>
          </w14:textFill>
        </w:rPr>
        <w:t>等）</w:t>
      </w:r>
    </w:p>
    <w:p>
      <w:pPr>
        <w:ind w:firstLine="630" w:firstLineChars="300"/>
        <w:rPr>
          <w:rFonts w:ascii="仿宋_GB2312" w:hAnsi="仿宋" w:eastAsia="仿宋_GB2312" w:cs="仿宋_GB2312"/>
          <w:color w:val="000000" w:themeColor="text1"/>
          <w:szCs w:val="21"/>
          <w14:textFill>
            <w14:solidFill>
              <w14:schemeClr w14:val="tx1"/>
            </w14:solidFill>
          </w14:textFill>
        </w:rPr>
      </w:pPr>
      <w:r>
        <w:rPr>
          <w:rFonts w:hint="eastAsia" w:ascii="仿宋_GB2312" w:hAnsi="仿宋" w:eastAsia="仿宋_GB2312" w:cs="仿宋_GB2312"/>
          <w:color w:val="000000" w:themeColor="text1"/>
          <w:szCs w:val="21"/>
          <w14:textFill>
            <w14:solidFill>
              <w14:schemeClr w14:val="tx1"/>
            </w14:solidFill>
          </w14:textFill>
        </w:rPr>
        <w:t>……</w:t>
      </w:r>
    </w:p>
    <w:p>
      <w:pPr>
        <w:rPr>
          <w:rFonts w:ascii="仿宋_GB2312" w:hAnsi="仿宋" w:eastAsia="仿宋_GB2312" w:cs="仿宋_GB2312"/>
          <w:color w:val="000000" w:themeColor="text1"/>
          <w:szCs w:val="21"/>
          <w14:textFill>
            <w14:solidFill>
              <w14:schemeClr w14:val="tx1"/>
            </w14:solidFill>
          </w14:textFill>
        </w:rPr>
      </w:pPr>
    </w:p>
    <w:p>
      <w:pPr>
        <w:adjustRightInd w:val="0"/>
        <w:snapToGrid w:val="0"/>
        <w:spacing w:line="360" w:lineRule="auto"/>
        <w:ind w:firstLine="420" w:firstLineChars="200"/>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我单位的投标文件由资格性证明材料、符合性证明材料和其它材料三部分组成，在此加盖单位公章并由法定代表人（或非法人组织负责人）或其授权委托人签字，保证投标文件中所有材料真实、有效。</w:t>
      </w:r>
    </w:p>
    <w:p>
      <w:pPr>
        <w:rPr>
          <w:rFonts w:ascii="仿宋_GB2312" w:hAnsi="仿宋" w:eastAsia="仿宋_GB2312" w:cs="仿宋_GB2312"/>
          <w:color w:val="000000" w:themeColor="text1"/>
          <w14:textFill>
            <w14:solidFill>
              <w14:schemeClr w14:val="tx1"/>
            </w14:solidFill>
          </w14:textFill>
        </w:rPr>
      </w:pPr>
    </w:p>
    <w:p>
      <w:pPr>
        <w:spacing w:line="480" w:lineRule="auto"/>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投标人名称（加盖单位公章）：</w:t>
      </w:r>
      <w:r>
        <w:rPr>
          <w:rFonts w:hint="eastAsia" w:ascii="仿宋_GB2312" w:hAnsi="仿宋" w:eastAsia="仿宋_GB2312" w:cs="仿宋_GB2312"/>
          <w:color w:val="000000" w:themeColor="text1"/>
          <w:u w:val="single"/>
          <w14:textFill>
            <w14:solidFill>
              <w14:schemeClr w14:val="tx1"/>
            </w14:solidFill>
          </w14:textFill>
        </w:rPr>
        <w:t xml:space="preserve">           </w:t>
      </w:r>
    </w:p>
    <w:p>
      <w:pPr>
        <w:spacing w:line="480" w:lineRule="auto"/>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法定代表人（或</w:t>
      </w:r>
      <w:r>
        <w:rPr>
          <w:rFonts w:hint="eastAsia" w:ascii="仿宋_GB2312" w:hAnsi="仿宋" w:eastAsia="仿宋_GB2312" w:cs="仿宋_GB2312"/>
          <w:color w:val="000000" w:themeColor="text1"/>
          <w:szCs w:val="21"/>
          <w14:textFill>
            <w14:solidFill>
              <w14:schemeClr w14:val="tx1"/>
            </w14:solidFill>
          </w14:textFill>
        </w:rPr>
        <w:t>非法人组织负责人）或</w:t>
      </w:r>
      <w:r>
        <w:rPr>
          <w:rFonts w:hint="eastAsia" w:ascii="仿宋_GB2312" w:hAnsi="仿宋" w:eastAsia="仿宋_GB2312" w:cs="仿宋_GB2312"/>
          <w:color w:val="000000" w:themeColor="text1"/>
          <w14:textFill>
            <w14:solidFill>
              <w14:schemeClr w14:val="tx1"/>
            </w14:solidFill>
          </w14:textFill>
        </w:rPr>
        <w:t>其授权委托人(签字或盖章)：</w:t>
      </w:r>
      <w:r>
        <w:rPr>
          <w:rFonts w:hint="eastAsia" w:ascii="仿宋_GB2312" w:hAnsi="仿宋" w:eastAsia="仿宋_GB2312" w:cs="仿宋_GB2312"/>
          <w:color w:val="000000" w:themeColor="text1"/>
          <w:u w:val="single"/>
          <w14:textFill>
            <w14:solidFill>
              <w14:schemeClr w14:val="tx1"/>
            </w14:solidFill>
          </w14:textFill>
        </w:rPr>
        <w:t xml:space="preserve">           </w:t>
      </w:r>
    </w:p>
    <w:p>
      <w:pPr>
        <w:spacing w:line="480" w:lineRule="auto"/>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 xml:space="preserve">日 </w:t>
      </w:r>
      <w:r>
        <w:rPr>
          <w:rFonts w:ascii="仿宋_GB2312" w:hAnsi="仿宋" w:eastAsia="仿宋_GB2312" w:cs="仿宋_GB2312"/>
          <w:color w:val="000000" w:themeColor="text1"/>
          <w14:textFill>
            <w14:solidFill>
              <w14:schemeClr w14:val="tx1"/>
            </w14:solidFill>
          </w14:textFill>
        </w:rPr>
        <w:t xml:space="preserve">     </w:t>
      </w:r>
      <w:r>
        <w:rPr>
          <w:rFonts w:hint="eastAsia" w:ascii="仿宋_GB2312" w:hAnsi="仿宋" w:eastAsia="仿宋_GB2312" w:cs="仿宋_GB2312"/>
          <w:color w:val="000000" w:themeColor="text1"/>
          <w14:textFill>
            <w14:solidFill>
              <w14:schemeClr w14:val="tx1"/>
            </w14:solidFill>
          </w14:textFill>
        </w:rPr>
        <w:t>期：</w:t>
      </w:r>
      <w:r>
        <w:rPr>
          <w:rFonts w:hint="eastAsia" w:ascii="仿宋_GB2312" w:hAnsi="仿宋" w:eastAsia="仿宋_GB2312" w:cs="仿宋_GB2312"/>
          <w:color w:val="000000" w:themeColor="text1"/>
          <w:u w:val="single"/>
          <w14:textFill>
            <w14:solidFill>
              <w14:schemeClr w14:val="tx1"/>
            </w14:solidFill>
          </w14:textFill>
        </w:rPr>
        <w:t xml:space="preserve">              </w:t>
      </w:r>
    </w:p>
    <w:p>
      <w:pPr>
        <w:pStyle w:val="3"/>
        <w:adjustRightInd w:val="0"/>
        <w:snapToGrid w:val="0"/>
        <w:spacing w:before="0" w:after="0" w:line="240" w:lineRule="auto"/>
        <w:jc w:val="left"/>
        <w:rPr>
          <w:rFonts w:ascii="仿宋_GB2312" w:hAnsi="仿宋" w:eastAsia="仿宋_GB2312" w:cs="仿宋_GB2312"/>
          <w:b w:val="0"/>
          <w:bCs/>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br w:type="page"/>
      </w:r>
      <w:r>
        <w:rPr>
          <w:rFonts w:hint="eastAsia" w:ascii="仿宋_GB2312" w:hAnsi="仿宋" w:eastAsia="仿宋_GB2312" w:cs="仿宋_GB2312"/>
          <w:color w:val="000000" w:themeColor="text1"/>
          <w:szCs w:val="28"/>
          <w14:textFill>
            <w14:solidFill>
              <w14:schemeClr w14:val="tx1"/>
            </w14:solidFill>
          </w14:textFill>
        </w:rPr>
        <w:t>格式4</w:t>
      </w:r>
      <w:bookmarkStart w:id="74" w:name="_Toc16924_WPSOffice_Level2"/>
      <w:bookmarkStart w:id="75" w:name="_Toc3401_WPSOffice_Level2"/>
    </w:p>
    <w:p>
      <w:pPr>
        <w:spacing w:before="319" w:beforeLines="100" w:after="319" w:afterLines="100" w:line="360" w:lineRule="auto"/>
        <w:ind w:right="-21" w:rightChars="-10"/>
        <w:jc w:val="center"/>
        <w:rPr>
          <w:rFonts w:ascii="方正小标宋简体" w:hAnsi="仿宋" w:eastAsia="方正小标宋简体" w:cs="仿宋_GB2312"/>
          <w:color w:val="000000" w:themeColor="text1"/>
          <w:sz w:val="32"/>
          <w:szCs w:val="32"/>
          <w14:textFill>
            <w14:solidFill>
              <w14:schemeClr w14:val="tx1"/>
            </w14:solidFill>
          </w14:textFill>
        </w:rPr>
      </w:pPr>
      <w:r>
        <w:rPr>
          <w:rFonts w:hint="eastAsia" w:ascii="方正小标宋简体" w:hAnsi="仿宋" w:eastAsia="方正小标宋简体" w:cs="仿宋_GB2312"/>
          <w:color w:val="000000" w:themeColor="text1"/>
          <w:sz w:val="32"/>
          <w:szCs w:val="32"/>
          <w14:textFill>
            <w14:solidFill>
              <w14:schemeClr w14:val="tx1"/>
            </w14:solidFill>
          </w14:textFill>
        </w:rPr>
        <w:t>法定代表人（或非法人组织负责人）身份证明书</w:t>
      </w:r>
      <w:bookmarkEnd w:id="74"/>
      <w:bookmarkEnd w:id="75"/>
    </w:p>
    <w:p>
      <w:pPr>
        <w:spacing w:line="360" w:lineRule="auto"/>
        <w:ind w:firstLine="480" w:firstLineChars="20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姓名：</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，性别：</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，出生日期：</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，现任职务：</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，系</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（投标人名称）的法定代表人（或非法人组织负责人）。</w:t>
      </w:r>
    </w:p>
    <w:p>
      <w:pPr>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 xml:space="preserve">            </w:t>
      </w:r>
    </w:p>
    <w:p>
      <w:pPr>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特此证明。</w:t>
      </w:r>
    </w:p>
    <w:p>
      <w:pPr>
        <w:rPr>
          <w:rFonts w:ascii="仿宋_GB2312" w:hAnsi="仿宋" w:eastAsia="仿宋_GB2312" w:cs="仿宋_GB2312"/>
          <w:color w:val="000000" w:themeColor="text1"/>
          <w:sz w:val="24"/>
          <w:szCs w:val="21"/>
          <w14:textFill>
            <w14:solidFill>
              <w14:schemeClr w14:val="tx1"/>
            </w14:solidFill>
          </w14:textFill>
        </w:rPr>
      </w:pPr>
    </w:p>
    <w:p>
      <w:pPr>
        <w:rPr>
          <w:rFonts w:ascii="仿宋_GB2312" w:hAnsi="仿宋" w:eastAsia="仿宋_GB2312" w:cs="仿宋_GB2312"/>
          <w:color w:val="000000" w:themeColor="text1"/>
          <w:sz w:val="24"/>
          <w:szCs w:val="21"/>
          <w14:textFill>
            <w14:solidFill>
              <w14:schemeClr w14:val="tx1"/>
            </w14:solidFill>
          </w14:textFill>
        </w:rPr>
      </w:pPr>
    </w:p>
    <w:p>
      <w:pPr>
        <w:rPr>
          <w:rFonts w:ascii="仿宋_GB2312" w:hAnsi="仿宋" w:eastAsia="仿宋_GB2312" w:cs="仿宋_GB2312"/>
          <w:color w:val="000000" w:themeColor="text1"/>
          <w:sz w:val="24"/>
          <w:szCs w:val="21"/>
          <w14:textFill>
            <w14:solidFill>
              <w14:schemeClr w14:val="tx1"/>
            </w14:solidFill>
          </w14:textFill>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jc w:val="center"/>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（※法定代表人（或非法人组织负责人）身份证正、反面复印件※）</w:t>
            </w:r>
          </w:p>
        </w:tc>
      </w:tr>
    </w:tbl>
    <w:p>
      <w:pPr>
        <w:rPr>
          <w:rFonts w:ascii="仿宋_GB2312" w:hAnsi="仿宋" w:eastAsia="仿宋_GB2312" w:cs="仿宋_GB2312"/>
          <w:color w:val="000000" w:themeColor="text1"/>
          <w:sz w:val="24"/>
          <w:szCs w:val="21"/>
          <w14:textFill>
            <w14:solidFill>
              <w14:schemeClr w14:val="tx1"/>
            </w14:solidFill>
          </w14:textFill>
        </w:rPr>
      </w:pPr>
    </w:p>
    <w:p>
      <w:pPr>
        <w:rPr>
          <w:rFonts w:ascii="仿宋_GB2312" w:hAnsi="仿宋" w:eastAsia="仿宋_GB2312" w:cs="仿宋_GB2312"/>
          <w:color w:val="000000" w:themeColor="text1"/>
          <w:sz w:val="24"/>
          <w:szCs w:val="21"/>
          <w14:textFill>
            <w14:solidFill>
              <w14:schemeClr w14:val="tx1"/>
            </w14:solidFill>
          </w14:textFill>
        </w:rPr>
      </w:pPr>
    </w:p>
    <w:p>
      <w:pPr>
        <w:rPr>
          <w:rFonts w:ascii="仿宋_GB2312" w:hAnsi="仿宋" w:eastAsia="仿宋_GB2312" w:cs="仿宋_GB2312"/>
          <w:color w:val="000000" w:themeColor="text1"/>
          <w:sz w:val="24"/>
          <w:szCs w:val="21"/>
          <w14:textFill>
            <w14:solidFill>
              <w14:schemeClr w14:val="tx1"/>
            </w14:solidFill>
          </w14:textFill>
        </w:rPr>
      </w:pPr>
    </w:p>
    <w:p>
      <w:pPr>
        <w:rPr>
          <w:rFonts w:ascii="仿宋_GB2312" w:hAnsi="仿宋" w:eastAsia="仿宋_GB2312" w:cs="仿宋_GB2312"/>
          <w:color w:val="000000" w:themeColor="text1"/>
          <w:sz w:val="24"/>
          <w:szCs w:val="21"/>
          <w14:textFill>
            <w14:solidFill>
              <w14:schemeClr w14:val="tx1"/>
            </w14:solidFill>
          </w14:textFill>
        </w:rPr>
      </w:pPr>
    </w:p>
    <w:p>
      <w:pPr>
        <w:rPr>
          <w:rFonts w:ascii="仿宋_GB2312" w:hAnsi="仿宋" w:eastAsia="仿宋_GB2312" w:cs="仿宋_GB2312"/>
          <w:color w:val="000000" w:themeColor="text1"/>
          <w:sz w:val="24"/>
          <w:szCs w:val="21"/>
          <w14:textFill>
            <w14:solidFill>
              <w14:schemeClr w14:val="tx1"/>
            </w14:solidFill>
          </w14:textFill>
        </w:rPr>
      </w:pPr>
    </w:p>
    <w:p>
      <w:pPr>
        <w:rPr>
          <w:rFonts w:ascii="仿宋_GB2312" w:hAnsi="仿宋" w:eastAsia="仿宋_GB2312" w:cs="仿宋_GB2312"/>
          <w:color w:val="000000" w:themeColor="text1"/>
          <w:sz w:val="24"/>
          <w:szCs w:val="21"/>
          <w14:textFill>
            <w14:solidFill>
              <w14:schemeClr w14:val="tx1"/>
            </w14:solidFill>
          </w14:textFill>
        </w:rPr>
      </w:pPr>
    </w:p>
    <w:p>
      <w:pPr>
        <w:spacing w:line="480" w:lineRule="auto"/>
        <w:rPr>
          <w:rFonts w:ascii="仿宋_GB2312" w:hAnsi="仿宋" w:eastAsia="仿宋_GB2312" w:cs="仿宋_GB2312"/>
          <w:color w:val="000000" w:themeColor="text1"/>
          <w:sz w:val="24"/>
          <w:u w:val="single"/>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投标人名称（加盖单位公章）：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rPr>
          <w:rFonts w:ascii="仿宋_GB2312" w:hAnsi="仿宋" w:eastAsia="仿宋_GB2312" w:cs="仿宋_GB2312"/>
          <w:color w:val="000000" w:themeColor="text1"/>
          <w:sz w:val="24"/>
          <w:u w:val="single"/>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xml:space="preserve">日 </w:t>
      </w:r>
      <w:r>
        <w:rPr>
          <w:rFonts w:ascii="仿宋_GB2312" w:hAnsi="仿宋" w:eastAsia="仿宋_GB2312" w:cs="仿宋_GB2312"/>
          <w:color w:val="000000" w:themeColor="text1"/>
          <w:sz w:val="24"/>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期：</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pStyle w:val="3"/>
        <w:adjustRightInd w:val="0"/>
        <w:snapToGrid w:val="0"/>
        <w:spacing w:before="0" w:after="0" w:line="240" w:lineRule="auto"/>
        <w:jc w:val="left"/>
        <w:rPr>
          <w:rFonts w:ascii="仿宋_GB2312" w:hAnsi="仿宋" w:eastAsia="仿宋_GB2312" w:cs="仿宋_GB2312"/>
          <w:color w:val="000000" w:themeColor="text1"/>
          <w:szCs w:val="28"/>
          <w14:textFill>
            <w14:solidFill>
              <w14:schemeClr w14:val="tx1"/>
            </w14:solidFill>
          </w14:textFill>
        </w:rPr>
      </w:pPr>
      <w:r>
        <w:rPr>
          <w:rFonts w:hint="eastAsia" w:ascii="仿宋_GB2312" w:hAnsi="仿宋" w:eastAsia="仿宋_GB2312" w:cs="仿宋_GB2312"/>
          <w:color w:val="000000" w:themeColor="text1"/>
          <w:szCs w:val="21"/>
          <w14:textFill>
            <w14:solidFill>
              <w14:schemeClr w14:val="tx1"/>
            </w14:solidFill>
          </w14:textFill>
        </w:rPr>
        <w:br w:type="page"/>
      </w:r>
      <w:r>
        <w:rPr>
          <w:rFonts w:hint="eastAsia" w:ascii="仿宋_GB2312" w:hAnsi="仿宋" w:eastAsia="仿宋_GB2312" w:cs="仿宋_GB2312"/>
          <w:color w:val="000000" w:themeColor="text1"/>
          <w:szCs w:val="28"/>
          <w14:textFill>
            <w14:solidFill>
              <w14:schemeClr w14:val="tx1"/>
            </w14:solidFill>
          </w14:textFill>
        </w:rPr>
        <w:t>格式5</w:t>
      </w:r>
      <w:bookmarkStart w:id="76" w:name="_Toc122_WPSOffice_Level2"/>
      <w:bookmarkStart w:id="77" w:name="_Toc21833_WPSOffice_Level2"/>
    </w:p>
    <w:p>
      <w:pPr>
        <w:spacing w:before="319" w:beforeLines="100" w:after="319" w:afterLines="100" w:line="360" w:lineRule="auto"/>
        <w:ind w:right="-21" w:rightChars="-10"/>
        <w:jc w:val="center"/>
        <w:rPr>
          <w:rFonts w:ascii="方正小标宋简体" w:hAnsi="仿宋" w:eastAsia="方正小标宋简体" w:cs="仿宋_GB2312"/>
          <w:color w:val="000000" w:themeColor="text1"/>
          <w:sz w:val="32"/>
          <w:szCs w:val="32"/>
          <w14:textFill>
            <w14:solidFill>
              <w14:schemeClr w14:val="tx1"/>
            </w14:solidFill>
          </w14:textFill>
        </w:rPr>
      </w:pPr>
      <w:r>
        <w:rPr>
          <w:rFonts w:hint="eastAsia" w:ascii="方正小标宋简体" w:hAnsi="仿宋" w:eastAsia="方正小标宋简体" w:cs="仿宋_GB2312"/>
          <w:color w:val="000000" w:themeColor="text1"/>
          <w:sz w:val="32"/>
          <w:szCs w:val="32"/>
          <w14:textFill>
            <w14:solidFill>
              <w14:schemeClr w14:val="tx1"/>
            </w14:solidFill>
          </w14:textFill>
        </w:rPr>
        <w:t>法定代表人（或非法人组织负责人）授权委托书</w:t>
      </w:r>
      <w:bookmarkEnd w:id="76"/>
      <w:bookmarkEnd w:id="77"/>
    </w:p>
    <w:p>
      <w:pPr>
        <w:spacing w:line="360" w:lineRule="auto"/>
        <w:ind w:firstLine="480" w:firstLineChars="200"/>
        <w:rPr>
          <w:rFonts w:ascii="仿宋_GB2312" w:hAnsi="仿宋" w:eastAsia="仿宋_GB2312" w:cs="仿宋_GB2312"/>
          <w:color w:val="000000" w:themeColor="text1"/>
          <w:sz w:val="24"/>
          <w:szCs w:val="21"/>
          <w:u w:val="single"/>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单位名称：</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p>
    <w:p>
      <w:pPr>
        <w:spacing w:line="360" w:lineRule="auto"/>
        <w:ind w:firstLine="480" w:firstLineChars="20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法定代表人（或非法人组织负责人）姓名：</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p>
    <w:p>
      <w:pPr>
        <w:spacing w:line="360" w:lineRule="auto"/>
        <w:ind w:firstLine="480" w:firstLineChars="200"/>
        <w:rPr>
          <w:rFonts w:ascii="仿宋_GB2312" w:hAnsi="仿宋" w:eastAsia="仿宋_GB2312" w:cs="仿宋_GB2312"/>
          <w:color w:val="000000" w:themeColor="text1"/>
          <w:sz w:val="24"/>
          <w:szCs w:val="21"/>
          <w:u w:val="single"/>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身份证号码：</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ascii="仿宋_GB2312" w:hAnsi="仿宋" w:eastAsia="仿宋_GB2312" w:cs="仿宋_GB2312"/>
          <w:color w:val="000000" w:themeColor="text1"/>
          <w:sz w:val="24"/>
          <w:szCs w:val="21"/>
          <w:u w:val="single"/>
          <w14:textFill>
            <w14:solidFill>
              <w14:schemeClr w14:val="tx1"/>
            </w14:solidFill>
          </w14:textFill>
        </w:rPr>
        <w:t xml:space="preserve">    </w:t>
      </w:r>
    </w:p>
    <w:p>
      <w:pPr>
        <w:tabs>
          <w:tab w:val="left" w:pos="5925"/>
        </w:tabs>
        <w:spacing w:line="360" w:lineRule="auto"/>
        <w:ind w:firstLine="480" w:firstLineChars="200"/>
        <w:rPr>
          <w:rFonts w:ascii="仿宋_GB2312" w:hAnsi="仿宋" w:eastAsia="仿宋_GB2312" w:cs="仿宋_GB2312"/>
          <w:color w:val="000000" w:themeColor="text1"/>
          <w:sz w:val="24"/>
          <w:szCs w:val="21"/>
          <w:u w:val="single"/>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住所地：</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u w:val="single"/>
          <w14:textFill>
            <w14:solidFill>
              <w14:schemeClr w14:val="tx1"/>
            </w14:solidFill>
          </w14:textFill>
        </w:rPr>
        <w:tab/>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p>
    <w:p>
      <w:pPr>
        <w:spacing w:line="360" w:lineRule="auto"/>
        <w:ind w:firstLine="480" w:firstLineChars="20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授权委托人姓名：</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p>
    <w:p>
      <w:pPr>
        <w:spacing w:line="360" w:lineRule="auto"/>
        <w:ind w:firstLine="480" w:firstLineChars="200"/>
        <w:rPr>
          <w:rFonts w:ascii="仿宋_GB2312" w:hAnsi="仿宋" w:eastAsia="仿宋_GB2312" w:cs="仿宋_GB2312"/>
          <w:color w:val="000000" w:themeColor="text1"/>
          <w:sz w:val="24"/>
          <w:szCs w:val="21"/>
          <w:u w:val="single"/>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身份证号码：</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p>
    <w:p>
      <w:pPr>
        <w:spacing w:line="360" w:lineRule="auto"/>
        <w:ind w:firstLine="480" w:firstLineChars="200"/>
        <w:rPr>
          <w:rFonts w:ascii="仿宋_GB2312" w:hAnsi="仿宋" w:eastAsia="仿宋_GB2312" w:cs="仿宋_GB2312"/>
          <w:color w:val="000000" w:themeColor="text1"/>
          <w:sz w:val="24"/>
          <w:szCs w:val="21"/>
          <w:u w:val="single"/>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工作单位：</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p>
    <w:p>
      <w:pPr>
        <w:spacing w:line="360" w:lineRule="auto"/>
        <w:ind w:firstLine="480" w:firstLineChars="20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 xml:space="preserve">住 </w:t>
      </w:r>
      <w:r>
        <w:rPr>
          <w:rFonts w:ascii="仿宋_GB2312" w:hAnsi="仿宋" w:eastAsia="仿宋_GB2312" w:cs="仿宋_GB2312"/>
          <w:color w:val="000000" w:themeColor="text1"/>
          <w:sz w:val="24"/>
          <w:szCs w:val="21"/>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址：</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p>
    <w:p>
      <w:pPr>
        <w:spacing w:line="360" w:lineRule="auto"/>
        <w:ind w:firstLine="480" w:firstLineChars="200"/>
        <w:rPr>
          <w:rFonts w:ascii="仿宋_GB2312" w:hAnsi="仿宋" w:eastAsia="仿宋_GB2312" w:cs="仿宋_GB2312"/>
          <w:color w:val="000000" w:themeColor="text1"/>
          <w:sz w:val="24"/>
          <w:szCs w:val="21"/>
          <w:u w:val="single"/>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 xml:space="preserve">电 </w:t>
      </w:r>
      <w:r>
        <w:rPr>
          <w:rFonts w:ascii="仿宋_GB2312" w:hAnsi="仿宋" w:eastAsia="仿宋_GB2312" w:cs="仿宋_GB2312"/>
          <w:color w:val="000000" w:themeColor="text1"/>
          <w:sz w:val="24"/>
          <w:szCs w:val="21"/>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话：</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ascii="仿宋_GB2312" w:hAnsi="仿宋" w:eastAsia="仿宋_GB2312" w:cs="仿宋_GB2312"/>
          <w:color w:val="000000" w:themeColor="text1"/>
          <w:sz w:val="24"/>
          <w:szCs w:val="21"/>
          <w:u w:val="single"/>
          <w14:textFill>
            <w14:solidFill>
              <w14:schemeClr w14:val="tx1"/>
            </w14:solidFill>
          </w14:textFill>
        </w:rPr>
        <w:t xml:space="preserve">      </w:t>
      </w:r>
    </w:p>
    <w:p>
      <w:pPr>
        <w:spacing w:line="360" w:lineRule="auto"/>
        <w:ind w:firstLine="480" w:firstLineChars="20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现委托</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就</w:t>
      </w:r>
      <w:r>
        <w:rPr>
          <w:rFonts w:hint="eastAsia" w:ascii="仿宋_GB2312" w:hAnsi="仿宋" w:eastAsia="仿宋_GB2312" w:cs="仿宋_GB2312"/>
          <w:color w:val="000000" w:themeColor="text1"/>
          <w:sz w:val="24"/>
          <w:szCs w:val="21"/>
          <w:u w:val="single"/>
          <w14:textFill>
            <w14:solidFill>
              <w14:schemeClr w14:val="tx1"/>
            </w14:solidFill>
          </w14:textFill>
        </w:rPr>
        <w:t>（项目编号、项目名称、包号）</w:t>
      </w:r>
      <w:r>
        <w:rPr>
          <w:rFonts w:hint="eastAsia" w:ascii="仿宋_GB2312" w:hAnsi="仿宋" w:eastAsia="仿宋_GB2312" w:cs="仿宋_GB2312"/>
          <w:color w:val="000000" w:themeColor="text1"/>
          <w:sz w:val="24"/>
          <w:szCs w:val="21"/>
          <w14:textFill>
            <w14:solidFill>
              <w14:schemeClr w14:val="tx1"/>
            </w14:solidFill>
          </w14:textFill>
        </w:rPr>
        <w:t>投标中，以我单位名义处理一切与之有关的事务。</w:t>
      </w:r>
    </w:p>
    <w:p>
      <w:pPr>
        <w:spacing w:line="360" w:lineRule="auto"/>
        <w:ind w:firstLine="480" w:firstLineChars="20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本授权书于</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年</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月</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日签字或盖章生效，无转委托，特此声明。</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jc w:val="center"/>
        </w:trPr>
        <w:tc>
          <w:tcPr>
            <w:tcW w:w="8228" w:type="dxa"/>
          </w:tcPr>
          <w:p>
            <w:pPr>
              <w:jc w:val="center"/>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（※授权委托人身份证正、反面复印件※）</w:t>
            </w:r>
          </w:p>
        </w:tc>
      </w:tr>
    </w:tbl>
    <w:p>
      <w:pPr>
        <w:spacing w:line="360" w:lineRule="auto"/>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委托人（加盖单位公章）：</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p>
    <w:p>
      <w:pPr>
        <w:spacing w:line="360" w:lineRule="auto"/>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法定代表人（或非法人组织负责人）（签字或盖章）：</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 xml:space="preserve"> </w:t>
      </w:r>
    </w:p>
    <w:p>
      <w:pPr>
        <w:spacing w:line="360" w:lineRule="auto"/>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授权委托人（签字或盖章）：</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p>
    <w:p>
      <w:pPr>
        <w:spacing w:line="360" w:lineRule="auto"/>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详细通讯地址：</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 xml:space="preserve">      邮政编码：</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p>
    <w:p>
      <w:pPr>
        <w:spacing w:line="360" w:lineRule="auto"/>
        <w:rPr>
          <w:rFonts w:ascii="仿宋_GB2312" w:hAnsi="仿宋" w:eastAsia="仿宋_GB2312" w:cs="仿宋_GB2312"/>
          <w:color w:val="000000" w:themeColor="text1"/>
          <w:sz w:val="24"/>
          <w:szCs w:val="21"/>
          <w:u w:val="single"/>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传        真：</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 xml:space="preserve">      电    话：</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p>
    <w:p>
      <w:pPr>
        <w:spacing w:line="360" w:lineRule="auto"/>
        <w:rPr>
          <w:rFonts w:ascii="仿宋_GB2312" w:hAnsi="仿宋" w:eastAsia="仿宋_GB2312" w:cs="仿宋_GB2312"/>
          <w:color w:val="000000" w:themeColor="text1"/>
          <w:sz w:val="24"/>
          <w:szCs w:val="21"/>
          <w:u w:val="single"/>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日        期:</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p>
    <w:p>
      <w:pPr>
        <w:pStyle w:val="3"/>
        <w:adjustRightInd w:val="0"/>
        <w:snapToGrid w:val="0"/>
        <w:spacing w:before="0" w:after="0" w:line="240" w:lineRule="auto"/>
        <w:jc w:val="left"/>
        <w:rPr>
          <w:rFonts w:ascii="仿宋_GB2312" w:hAnsi="仿宋" w:eastAsia="仿宋_GB2312" w:cs="仿宋_GB2312"/>
          <w:color w:val="000000" w:themeColor="text1"/>
          <w:szCs w:val="28"/>
          <w14:textFill>
            <w14:solidFill>
              <w14:schemeClr w14:val="tx1"/>
            </w14:solidFill>
          </w14:textFill>
        </w:rPr>
      </w:pPr>
      <w:r>
        <w:rPr>
          <w:rFonts w:hint="eastAsia" w:ascii="仿宋_GB2312" w:hAnsi="仿宋" w:eastAsia="仿宋_GB2312" w:cs="仿宋_GB2312"/>
          <w:color w:val="000000" w:themeColor="text1"/>
          <w:szCs w:val="28"/>
          <w14:textFill>
            <w14:solidFill>
              <w14:schemeClr w14:val="tx1"/>
            </w14:solidFill>
          </w14:textFill>
        </w:rPr>
        <w:t>格式6</w:t>
      </w:r>
    </w:p>
    <w:p>
      <w:pPr>
        <w:spacing w:before="319" w:beforeLines="100" w:after="319" w:afterLines="100" w:line="360" w:lineRule="auto"/>
        <w:ind w:right="-21" w:rightChars="-10"/>
        <w:jc w:val="center"/>
        <w:rPr>
          <w:rFonts w:ascii="方正小标宋简体" w:hAnsi="仿宋" w:eastAsia="方正小标宋简体" w:cs="仿宋_GB2312"/>
          <w:color w:val="000000" w:themeColor="text1"/>
          <w:sz w:val="32"/>
          <w:szCs w:val="32"/>
          <w14:textFill>
            <w14:solidFill>
              <w14:schemeClr w14:val="tx1"/>
            </w14:solidFill>
          </w14:textFill>
        </w:rPr>
      </w:pPr>
      <w:r>
        <w:rPr>
          <w:rFonts w:hint="eastAsia" w:ascii="方正小标宋简体" w:hAnsi="仿宋" w:eastAsia="方正小标宋简体" w:cs="仿宋_GB2312"/>
          <w:color w:val="000000" w:themeColor="text1"/>
          <w:sz w:val="32"/>
          <w:szCs w:val="32"/>
          <w14:textFill>
            <w14:solidFill>
              <w14:schemeClr w14:val="tx1"/>
            </w14:solidFill>
          </w14:textFill>
        </w:rPr>
        <w:t>具有良好的商业信誉和健全的财务会计制度的承诺函</w:t>
      </w:r>
    </w:p>
    <w:p>
      <w:pPr>
        <w:spacing w:before="319" w:beforeLines="100" w:after="319" w:afterLines="100" w:line="480" w:lineRule="exact"/>
        <w:ind w:right="630" w:rightChars="300"/>
        <w:jc w:val="center"/>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（格式自拟）</w:t>
      </w: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snapToGrid w:val="0"/>
        <w:spacing w:line="480" w:lineRule="auto"/>
        <w:rPr>
          <w:color w:val="000000" w:themeColor="text1"/>
          <w14:textFill>
            <w14:solidFill>
              <w14:schemeClr w14:val="tx1"/>
            </w14:solidFill>
          </w14:textFill>
        </w:rPr>
      </w:pP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adjustRightInd w:val="0"/>
        <w:snapToGrid w:val="0"/>
        <w:spacing w:line="360" w:lineRule="auto"/>
        <w:ind w:right="105" w:rightChars="50" w:firstLine="476" w:firstLineChars="227"/>
        <w:jc w:val="left"/>
        <w:rPr>
          <w:color w:val="000000" w:themeColor="text1"/>
          <w14:textFill>
            <w14:solidFill>
              <w14:schemeClr w14:val="tx1"/>
            </w14:solidFill>
          </w14:textFill>
        </w:rPr>
      </w:pP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snapToGrid w:val="0"/>
        <w:spacing w:line="480" w:lineRule="auto"/>
        <w:rPr>
          <w:rFonts w:ascii="仿宋_GB2312" w:hAnsi="仿宋" w:eastAsia="仿宋_GB2312" w:cs="仿宋_GB2312"/>
          <w:color w:val="000000" w:themeColor="text1"/>
          <w:sz w:val="24"/>
          <w14:textFill>
            <w14:solidFill>
              <w14:schemeClr w14:val="tx1"/>
            </w14:solidFill>
          </w14:textFill>
        </w:rPr>
      </w:pPr>
    </w:p>
    <w:p>
      <w:pPr>
        <w:snapToGrid w:val="0"/>
        <w:spacing w:line="48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投标人名称（加盖单位公章）：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snapToGrid w:val="0"/>
        <w:spacing w:line="48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法定代表人（或</w:t>
      </w:r>
      <w:r>
        <w:rPr>
          <w:rFonts w:hint="eastAsia" w:ascii="仿宋_GB2312" w:hAnsi="仿宋" w:eastAsia="仿宋_GB2312" w:cs="仿宋_GB2312"/>
          <w:color w:val="000000" w:themeColor="text1"/>
          <w:sz w:val="24"/>
          <w:szCs w:val="21"/>
          <w14:textFill>
            <w14:solidFill>
              <w14:schemeClr w14:val="tx1"/>
            </w14:solidFill>
          </w14:textFill>
        </w:rPr>
        <w:t>非法人组织负责人）或</w:t>
      </w:r>
      <w:r>
        <w:rPr>
          <w:rFonts w:hint="eastAsia" w:ascii="仿宋_GB2312" w:hAnsi="仿宋" w:eastAsia="仿宋_GB2312" w:cs="仿宋_GB2312"/>
          <w:color w:val="000000" w:themeColor="text1"/>
          <w:sz w:val="24"/>
          <w14:textFill>
            <w14:solidFill>
              <w14:schemeClr w14:val="tx1"/>
            </w14:solidFill>
          </w14:textFill>
        </w:rPr>
        <w:t>其</w:t>
      </w:r>
      <w:r>
        <w:rPr>
          <w:rFonts w:hint="eastAsia" w:ascii="仿宋_GB2312" w:hAnsi="仿宋" w:eastAsia="仿宋_GB2312" w:cs="仿宋_GB2312"/>
          <w:color w:val="000000" w:themeColor="text1"/>
          <w:sz w:val="24"/>
          <w:szCs w:val="21"/>
          <w14:textFill>
            <w14:solidFill>
              <w14:schemeClr w14:val="tx1"/>
            </w14:solidFill>
          </w14:textFill>
        </w:rPr>
        <w:t>授权委托人</w:t>
      </w:r>
      <w:r>
        <w:rPr>
          <w:rFonts w:hint="eastAsia" w:ascii="仿宋_GB2312" w:hAnsi="仿宋" w:eastAsia="仿宋_GB2312" w:cs="仿宋_GB2312"/>
          <w:color w:val="000000" w:themeColor="text1"/>
          <w:sz w:val="24"/>
          <w14:textFill>
            <w14:solidFill>
              <w14:schemeClr w14:val="tx1"/>
            </w14:solidFill>
          </w14:textFill>
        </w:rPr>
        <w:t>(签字或盖章)：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adjustRightInd w:val="0"/>
        <w:snapToGrid w:val="0"/>
        <w:spacing w:line="360" w:lineRule="auto"/>
        <w:ind w:right="105" w:rightChars="50"/>
        <w:jc w:val="left"/>
        <w:rPr>
          <w:rFonts w:ascii="仿宋_GB2312" w:hAnsi="仿宋" w:eastAsia="仿宋_GB2312" w:cs="仿宋_GB2312"/>
          <w:color w:val="000000" w:themeColor="text1"/>
          <w:sz w:val="24"/>
          <w:u w:val="single"/>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xml:space="preserve">日 </w:t>
      </w:r>
      <w:r>
        <w:rPr>
          <w:rFonts w:ascii="仿宋_GB2312" w:hAnsi="仿宋" w:eastAsia="仿宋_GB2312" w:cs="仿宋_GB2312"/>
          <w:color w:val="000000" w:themeColor="text1"/>
          <w:sz w:val="24"/>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期：</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adjustRightInd w:val="0"/>
        <w:snapToGrid w:val="0"/>
        <w:spacing w:line="360" w:lineRule="auto"/>
        <w:ind w:right="105" w:rightChars="50"/>
        <w:jc w:val="left"/>
        <w:rPr>
          <w:rFonts w:ascii="仿宋_GB2312" w:hAnsi="仿宋" w:eastAsia="仿宋_GB2312" w:cs="仿宋_GB2312"/>
          <w:color w:val="000000" w:themeColor="text1"/>
          <w:u w:val="single"/>
          <w14:textFill>
            <w14:solidFill>
              <w14:schemeClr w14:val="tx1"/>
            </w14:solidFill>
          </w14:textFill>
        </w:rPr>
      </w:pPr>
    </w:p>
    <w:p>
      <w:pPr>
        <w:pStyle w:val="3"/>
        <w:adjustRightInd w:val="0"/>
        <w:snapToGrid w:val="0"/>
        <w:spacing w:before="0" w:after="0" w:line="240" w:lineRule="auto"/>
        <w:jc w:val="left"/>
        <w:rPr>
          <w:rFonts w:ascii="仿宋_GB2312" w:hAnsi="仿宋" w:eastAsia="仿宋_GB2312" w:cs="仿宋_GB2312"/>
          <w:color w:val="000000" w:themeColor="text1"/>
          <w:szCs w:val="28"/>
          <w14:textFill>
            <w14:solidFill>
              <w14:schemeClr w14:val="tx1"/>
            </w14:solidFill>
          </w14:textFill>
        </w:rPr>
      </w:pPr>
      <w:r>
        <w:rPr>
          <w:rFonts w:hint="eastAsia" w:ascii="仿宋_GB2312" w:hAnsi="仿宋" w:eastAsia="仿宋_GB2312" w:cs="仿宋_GB2312"/>
          <w:color w:val="000000" w:themeColor="text1"/>
          <w:szCs w:val="28"/>
          <w14:textFill>
            <w14:solidFill>
              <w14:schemeClr w14:val="tx1"/>
            </w14:solidFill>
          </w14:textFill>
        </w:rPr>
        <w:br w:type="page"/>
      </w:r>
      <w:r>
        <w:rPr>
          <w:rFonts w:hint="eastAsia" w:ascii="仿宋_GB2312" w:hAnsi="仿宋" w:eastAsia="仿宋_GB2312" w:cs="仿宋_GB2312"/>
          <w:color w:val="000000" w:themeColor="text1"/>
          <w:szCs w:val="28"/>
          <w14:textFill>
            <w14:solidFill>
              <w14:schemeClr w14:val="tx1"/>
            </w14:solidFill>
          </w14:textFill>
        </w:rPr>
        <w:t>格式7</w:t>
      </w:r>
    </w:p>
    <w:p>
      <w:pPr>
        <w:spacing w:before="319" w:beforeLines="100" w:after="319" w:afterLines="100" w:line="360" w:lineRule="auto"/>
        <w:ind w:right="-21" w:rightChars="-10"/>
        <w:jc w:val="center"/>
        <w:rPr>
          <w:rFonts w:ascii="方正小标宋简体" w:hAnsi="仿宋" w:eastAsia="方正小标宋简体" w:cs="仿宋_GB2312"/>
          <w:color w:val="000000" w:themeColor="text1"/>
          <w:sz w:val="32"/>
          <w:szCs w:val="32"/>
          <w14:textFill>
            <w14:solidFill>
              <w14:schemeClr w14:val="tx1"/>
            </w14:solidFill>
          </w14:textFill>
        </w:rPr>
      </w:pPr>
      <w:bookmarkStart w:id="78" w:name="_Toc12037_WPSOffice_Level2"/>
      <w:bookmarkStart w:id="79" w:name="_Toc23728_WPSOffice_Level2"/>
      <w:r>
        <w:rPr>
          <w:rFonts w:hint="eastAsia" w:ascii="方正小标宋简体" w:hAnsi="仿宋" w:eastAsia="方正小标宋简体" w:cs="仿宋_GB2312"/>
          <w:color w:val="000000" w:themeColor="text1"/>
          <w:sz w:val="32"/>
          <w:szCs w:val="32"/>
          <w14:textFill>
            <w14:solidFill>
              <w14:schemeClr w14:val="tx1"/>
            </w14:solidFill>
          </w14:textFill>
        </w:rPr>
        <w:t>具备履行合同所必需的设备和专业技术能力声明函</w:t>
      </w:r>
      <w:bookmarkEnd w:id="78"/>
      <w:bookmarkEnd w:id="79"/>
    </w:p>
    <w:p>
      <w:pPr>
        <w:spacing w:before="319" w:beforeLines="100" w:after="319" w:afterLines="100" w:line="480" w:lineRule="exact"/>
        <w:ind w:right="630" w:rightChars="300"/>
        <w:jc w:val="center"/>
        <w:rPr>
          <w:rFonts w:ascii="仿宋_GB2312" w:hAnsi="仿宋" w:eastAsia="仿宋_GB2312" w:cs="仿宋_GB2312"/>
          <w:color w:val="000000" w:themeColor="text1"/>
          <w:sz w:val="28"/>
          <w:szCs w:val="28"/>
          <w14:textFill>
            <w14:solidFill>
              <w14:schemeClr w14:val="tx1"/>
            </w14:solidFill>
          </w14:textFill>
        </w:rPr>
      </w:pPr>
      <w:bookmarkStart w:id="80" w:name="_Toc28831_WPSOffice_Level2"/>
      <w:bookmarkStart w:id="81" w:name="_Toc1917_WPSOffice_Level2"/>
      <w:r>
        <w:rPr>
          <w:rFonts w:hint="eastAsia" w:ascii="仿宋_GB2312" w:hAnsi="仿宋" w:eastAsia="仿宋_GB2312" w:cs="仿宋_GB2312"/>
          <w:color w:val="000000" w:themeColor="text1"/>
          <w:sz w:val="28"/>
          <w:szCs w:val="28"/>
          <w14:textFill>
            <w14:solidFill>
              <w14:schemeClr w14:val="tx1"/>
            </w14:solidFill>
          </w14:textFill>
        </w:rPr>
        <w:t>（格式自拟）</w:t>
      </w:r>
      <w:bookmarkEnd w:id="80"/>
      <w:bookmarkEnd w:id="81"/>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sz w:val="24"/>
          <w14:textFill>
            <w14:solidFill>
              <w14:schemeClr w14:val="tx1"/>
            </w14:solidFill>
          </w14:textFill>
        </w:rPr>
      </w:pPr>
    </w:p>
    <w:p>
      <w:pPr>
        <w:rPr>
          <w:b/>
          <w:color w:val="000000" w:themeColor="text1"/>
          <w:sz w:val="24"/>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snapToGrid w:val="0"/>
        <w:spacing w:line="480" w:lineRule="auto"/>
        <w:rPr>
          <w:rFonts w:ascii="仿宋_GB2312" w:hAnsi="仿宋" w:eastAsia="仿宋_GB2312" w:cs="仿宋_GB2312"/>
          <w:color w:val="000000" w:themeColor="text1"/>
          <w:sz w:val="24"/>
          <w14:textFill>
            <w14:solidFill>
              <w14:schemeClr w14:val="tx1"/>
            </w14:solidFill>
          </w14:textFill>
        </w:rPr>
      </w:pPr>
    </w:p>
    <w:p>
      <w:pPr>
        <w:snapToGrid w:val="0"/>
        <w:spacing w:line="480" w:lineRule="auto"/>
        <w:rPr>
          <w:rFonts w:ascii="仿宋_GB2312" w:hAnsi="仿宋" w:eastAsia="仿宋_GB2312" w:cs="仿宋_GB2312"/>
          <w:color w:val="000000" w:themeColor="text1"/>
          <w:sz w:val="24"/>
          <w14:textFill>
            <w14:solidFill>
              <w14:schemeClr w14:val="tx1"/>
            </w14:solidFill>
          </w14:textFill>
        </w:rPr>
      </w:pPr>
    </w:p>
    <w:p>
      <w:pPr>
        <w:snapToGrid w:val="0"/>
        <w:spacing w:line="480" w:lineRule="auto"/>
        <w:rPr>
          <w:rFonts w:ascii="仿宋_GB2312" w:hAnsi="仿宋" w:eastAsia="仿宋_GB2312" w:cs="仿宋_GB2312"/>
          <w:color w:val="000000" w:themeColor="text1"/>
          <w:sz w:val="24"/>
          <w14:textFill>
            <w14:solidFill>
              <w14:schemeClr w14:val="tx1"/>
            </w14:solidFill>
          </w14:textFill>
        </w:rPr>
      </w:pPr>
    </w:p>
    <w:p>
      <w:pPr>
        <w:snapToGrid w:val="0"/>
        <w:spacing w:line="480" w:lineRule="auto"/>
        <w:rPr>
          <w:rFonts w:ascii="仿宋_GB2312" w:hAnsi="仿宋" w:eastAsia="仿宋_GB2312" w:cs="仿宋_GB2312"/>
          <w:color w:val="000000" w:themeColor="text1"/>
          <w:sz w:val="24"/>
          <w14:textFill>
            <w14:solidFill>
              <w14:schemeClr w14:val="tx1"/>
            </w14:solidFill>
          </w14:textFill>
        </w:rPr>
      </w:pPr>
    </w:p>
    <w:p>
      <w:pPr>
        <w:snapToGrid w:val="0"/>
        <w:spacing w:line="48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投标人名称（加盖单位公章）：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snapToGrid w:val="0"/>
        <w:spacing w:line="48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法定代表人（或</w:t>
      </w:r>
      <w:r>
        <w:rPr>
          <w:rFonts w:hint="eastAsia" w:ascii="仿宋_GB2312" w:hAnsi="仿宋" w:eastAsia="仿宋_GB2312" w:cs="仿宋_GB2312"/>
          <w:color w:val="000000" w:themeColor="text1"/>
          <w:sz w:val="24"/>
          <w:szCs w:val="21"/>
          <w14:textFill>
            <w14:solidFill>
              <w14:schemeClr w14:val="tx1"/>
            </w14:solidFill>
          </w14:textFill>
        </w:rPr>
        <w:t>非法人组织负责人）或</w:t>
      </w:r>
      <w:r>
        <w:rPr>
          <w:rFonts w:hint="eastAsia" w:ascii="仿宋_GB2312" w:hAnsi="仿宋" w:eastAsia="仿宋_GB2312" w:cs="仿宋_GB2312"/>
          <w:color w:val="000000" w:themeColor="text1"/>
          <w:sz w:val="24"/>
          <w14:textFill>
            <w14:solidFill>
              <w14:schemeClr w14:val="tx1"/>
            </w14:solidFill>
          </w14:textFill>
        </w:rPr>
        <w:t>其</w:t>
      </w:r>
      <w:r>
        <w:rPr>
          <w:rFonts w:hint="eastAsia" w:ascii="仿宋_GB2312" w:hAnsi="仿宋" w:eastAsia="仿宋_GB2312" w:cs="仿宋_GB2312"/>
          <w:color w:val="000000" w:themeColor="text1"/>
          <w:sz w:val="24"/>
          <w:szCs w:val="21"/>
          <w14:textFill>
            <w14:solidFill>
              <w14:schemeClr w14:val="tx1"/>
            </w14:solidFill>
          </w14:textFill>
        </w:rPr>
        <w:t>授权委托人</w:t>
      </w:r>
      <w:r>
        <w:rPr>
          <w:rFonts w:hint="eastAsia" w:ascii="仿宋_GB2312" w:hAnsi="仿宋" w:eastAsia="仿宋_GB2312" w:cs="仿宋_GB2312"/>
          <w:color w:val="000000" w:themeColor="text1"/>
          <w:sz w:val="24"/>
          <w14:textFill>
            <w14:solidFill>
              <w14:schemeClr w14:val="tx1"/>
            </w14:solidFill>
          </w14:textFill>
        </w:rPr>
        <w:t>(签字或盖章)：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adjustRightInd w:val="0"/>
        <w:snapToGrid w:val="0"/>
        <w:spacing w:line="360" w:lineRule="auto"/>
        <w:ind w:right="105" w:rightChars="50"/>
        <w:jc w:val="left"/>
        <w:rPr>
          <w:rFonts w:ascii="仿宋_GB2312" w:hAnsi="仿宋" w:eastAsia="仿宋_GB2312" w:cs="仿宋_GB2312"/>
          <w:color w:val="000000" w:themeColor="text1"/>
          <w:sz w:val="24"/>
          <w:u w:val="single"/>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xml:space="preserve">日 </w:t>
      </w:r>
      <w:r>
        <w:rPr>
          <w:rFonts w:ascii="仿宋_GB2312" w:hAnsi="仿宋" w:eastAsia="仿宋_GB2312" w:cs="仿宋_GB2312"/>
          <w:color w:val="000000" w:themeColor="text1"/>
          <w:sz w:val="24"/>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期：</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adjustRightInd w:val="0"/>
        <w:snapToGrid w:val="0"/>
        <w:spacing w:line="360" w:lineRule="auto"/>
        <w:ind w:right="105" w:rightChars="50"/>
        <w:jc w:val="left"/>
        <w:rPr>
          <w:rFonts w:ascii="仿宋_GB2312" w:hAnsi="仿宋" w:eastAsia="仿宋_GB2312" w:cs="仿宋_GB2312"/>
          <w:color w:val="000000" w:themeColor="text1"/>
          <w:sz w:val="24"/>
          <w:u w:val="single"/>
          <w14:textFill>
            <w14:solidFill>
              <w14:schemeClr w14:val="tx1"/>
            </w14:solidFill>
          </w14:textFill>
        </w:rPr>
      </w:pPr>
    </w:p>
    <w:p>
      <w:pPr>
        <w:adjustRightInd w:val="0"/>
        <w:snapToGrid w:val="0"/>
        <w:spacing w:line="360" w:lineRule="auto"/>
        <w:ind w:right="105" w:rightChars="50"/>
        <w:jc w:val="left"/>
        <w:rPr>
          <w:rFonts w:ascii="仿宋_GB2312" w:hAnsi="仿宋" w:eastAsia="仿宋_GB2312" w:cs="仿宋_GB2312"/>
          <w:color w:val="000000" w:themeColor="text1"/>
          <w:u w:val="single"/>
          <w14:textFill>
            <w14:solidFill>
              <w14:schemeClr w14:val="tx1"/>
            </w14:solidFill>
          </w14:textFill>
        </w:rPr>
      </w:pPr>
    </w:p>
    <w:p>
      <w:pPr>
        <w:pStyle w:val="3"/>
        <w:adjustRightInd w:val="0"/>
        <w:snapToGrid w:val="0"/>
        <w:spacing w:before="0" w:after="0" w:line="240" w:lineRule="auto"/>
        <w:jc w:val="left"/>
        <w:rPr>
          <w:rFonts w:ascii="仿宋_GB2312" w:hAnsi="仿宋" w:eastAsia="仿宋_GB2312" w:cs="仿宋_GB2312"/>
          <w:color w:val="000000" w:themeColor="text1"/>
          <w:szCs w:val="28"/>
          <w14:textFill>
            <w14:solidFill>
              <w14:schemeClr w14:val="tx1"/>
            </w14:solidFill>
          </w14:textFill>
        </w:rPr>
      </w:pPr>
      <w:r>
        <w:rPr>
          <w:rFonts w:hint="eastAsia" w:ascii="仿宋_GB2312" w:hAnsi="仿宋" w:eastAsia="仿宋_GB2312" w:cs="仿宋_GB2312"/>
          <w:b w:val="0"/>
          <w:color w:val="000000" w:themeColor="text1"/>
          <w:szCs w:val="28"/>
          <w14:textFill>
            <w14:solidFill>
              <w14:schemeClr w14:val="tx1"/>
            </w14:solidFill>
          </w14:textFill>
        </w:rPr>
        <w:br w:type="page"/>
      </w:r>
      <w:r>
        <w:rPr>
          <w:rFonts w:hint="eastAsia" w:ascii="仿宋_GB2312" w:hAnsi="仿宋" w:eastAsia="仿宋_GB2312" w:cs="仿宋_GB2312"/>
          <w:color w:val="000000" w:themeColor="text1"/>
          <w:szCs w:val="28"/>
          <w14:textFill>
            <w14:solidFill>
              <w14:schemeClr w14:val="tx1"/>
            </w14:solidFill>
          </w14:textFill>
        </w:rPr>
        <w:t>格式8</w:t>
      </w:r>
    </w:p>
    <w:p>
      <w:pPr>
        <w:spacing w:before="319" w:beforeLines="100" w:after="319" w:afterLines="100" w:line="480" w:lineRule="exact"/>
        <w:ind w:right="630" w:rightChars="300"/>
        <w:jc w:val="center"/>
        <w:rPr>
          <w:rFonts w:ascii="方正小标宋简体" w:hAnsi="仿宋" w:eastAsia="方正小标宋简体" w:cs="仿宋_GB2312"/>
          <w:color w:val="000000" w:themeColor="text1"/>
          <w:sz w:val="32"/>
          <w:szCs w:val="32"/>
          <w14:textFill>
            <w14:solidFill>
              <w14:schemeClr w14:val="tx1"/>
            </w14:solidFill>
          </w14:textFill>
        </w:rPr>
      </w:pPr>
      <w:r>
        <w:rPr>
          <w:rFonts w:hint="eastAsia" w:ascii="方正小标宋简体" w:hAnsi="仿宋" w:eastAsia="方正小标宋简体" w:cs="仿宋_GB2312"/>
          <w:color w:val="000000" w:themeColor="text1"/>
          <w:sz w:val="32"/>
          <w:szCs w:val="32"/>
          <w14:textFill>
            <w14:solidFill>
              <w14:schemeClr w14:val="tx1"/>
            </w14:solidFill>
          </w14:textFill>
        </w:rPr>
        <w:t xml:space="preserve">   </w:t>
      </w:r>
      <w:bookmarkStart w:id="82" w:name="_Toc7498_WPSOffice_Level2"/>
      <w:bookmarkStart w:id="83" w:name="_Toc11967_WPSOffice_Level2"/>
      <w:r>
        <w:rPr>
          <w:rFonts w:hint="eastAsia" w:ascii="方正小标宋简体" w:hAnsi="仿宋" w:eastAsia="方正小标宋简体" w:cs="仿宋_GB2312"/>
          <w:color w:val="000000" w:themeColor="text1"/>
          <w:sz w:val="32"/>
          <w:szCs w:val="32"/>
          <w14:textFill>
            <w14:solidFill>
              <w14:schemeClr w14:val="tx1"/>
            </w14:solidFill>
          </w14:textFill>
        </w:rPr>
        <w:t>参加政府采购活动前3年内在经营活动中没有重大违法记录的书面声明</w:t>
      </w:r>
      <w:bookmarkEnd w:id="82"/>
      <w:bookmarkEnd w:id="83"/>
    </w:p>
    <w:p>
      <w:pPr>
        <w:spacing w:line="360" w:lineRule="auto"/>
        <w:ind w:right="630" w:rightChars="300"/>
        <w:rPr>
          <w:rFonts w:ascii="仿宋_GB2312" w:hAnsi="仿宋" w:eastAsia="仿宋_GB2312" w:cs="仿宋_GB2312"/>
          <w:b/>
          <w:color w:val="000000" w:themeColor="text1"/>
          <w:sz w:val="24"/>
          <w:szCs w:val="21"/>
          <w14:textFill>
            <w14:solidFill>
              <w14:schemeClr w14:val="tx1"/>
            </w14:solidFill>
          </w14:textFill>
        </w:rPr>
      </w:pPr>
      <w:r>
        <w:rPr>
          <w:rFonts w:hint="eastAsia" w:ascii="仿宋_GB2312" w:hAnsi="仿宋" w:eastAsia="仿宋_GB2312" w:cs="仿宋_GB2312"/>
          <w:b/>
          <w:color w:val="000000" w:themeColor="text1"/>
          <w:sz w:val="24"/>
          <w:szCs w:val="21"/>
          <w:u w:val="single"/>
          <w14:textFill>
            <w14:solidFill>
              <w14:schemeClr w14:val="tx1"/>
            </w14:solidFill>
          </w14:textFill>
        </w:rPr>
        <w:t xml:space="preserve">（采购人或采购组织机构名称） </w:t>
      </w:r>
      <w:r>
        <w:rPr>
          <w:rFonts w:hint="eastAsia" w:ascii="仿宋_GB2312" w:hAnsi="仿宋" w:eastAsia="仿宋_GB2312" w:cs="仿宋_GB2312"/>
          <w:b/>
          <w:color w:val="000000" w:themeColor="text1"/>
          <w:sz w:val="24"/>
          <w:szCs w:val="21"/>
          <w14:textFill>
            <w14:solidFill>
              <w14:schemeClr w14:val="tx1"/>
            </w14:solidFill>
          </w14:textFill>
        </w:rPr>
        <w:t xml:space="preserve"> ：</w:t>
      </w:r>
    </w:p>
    <w:p>
      <w:pPr>
        <w:spacing w:line="360" w:lineRule="auto"/>
        <w:ind w:right="-21" w:rightChars="-10" w:firstLine="564" w:firstLineChars="235"/>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在本项目递交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异常经营名录、税收违法黑名单、政府采购严重违法失信行为记录名单。</w:t>
      </w:r>
    </w:p>
    <w:p>
      <w:pPr>
        <w:tabs>
          <w:tab w:val="left" w:pos="10065"/>
        </w:tabs>
        <w:spacing w:line="360" w:lineRule="auto"/>
        <w:ind w:right="-21" w:rightChars="-10" w:firstLine="424" w:firstLineChars="177"/>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如发现我单位提供的声明函不实时，我单位将按照《政府采购法》有关提供虚假材料的规定，接受处罚。</w:t>
      </w:r>
    </w:p>
    <w:p>
      <w:pPr>
        <w:spacing w:line="360" w:lineRule="auto"/>
        <w:ind w:right="1050" w:rightChars="500" w:firstLine="480" w:firstLineChars="20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特此声明。</w:t>
      </w:r>
    </w:p>
    <w:p>
      <w:pPr>
        <w:spacing w:line="500" w:lineRule="exact"/>
        <w:ind w:right="1050" w:rightChars="500"/>
        <w:rPr>
          <w:rFonts w:ascii="仿宋_GB2312" w:hAnsi="仿宋" w:eastAsia="仿宋_GB2312" w:cs="仿宋_GB2312"/>
          <w:color w:val="000000" w:themeColor="text1"/>
          <w:sz w:val="24"/>
          <w:szCs w:val="21"/>
          <w14:textFill>
            <w14:solidFill>
              <w14:schemeClr w14:val="tx1"/>
            </w14:solidFill>
          </w14:textFill>
        </w:rPr>
      </w:pPr>
    </w:p>
    <w:p>
      <w:pPr>
        <w:spacing w:line="360" w:lineRule="auto"/>
        <w:ind w:right="-21" w:rightChars="-10" w:firstLine="564" w:firstLineChars="235"/>
        <w:rPr>
          <w:rFonts w:ascii="仿宋_GB2312" w:hAnsi="仿宋" w:eastAsia="仿宋_GB2312" w:cs="仿宋_GB2312"/>
          <w:b/>
          <w:bCs/>
          <w:color w:val="000000" w:themeColor="text1"/>
          <w:sz w:val="24"/>
          <w:szCs w:val="21"/>
          <w14:textFill>
            <w14:solidFill>
              <w14:schemeClr w14:val="tx1"/>
            </w14:solidFill>
          </w14:textFill>
        </w:rPr>
      </w:pPr>
      <w:r>
        <w:rPr>
          <w:rFonts w:hint="eastAsia" w:ascii="仿宋_GB2312" w:hAnsi="仿宋" w:eastAsia="仿宋_GB2312" w:cs="仿宋_GB2312"/>
          <w:b/>
          <w:bCs/>
          <w:color w:val="000000" w:themeColor="text1"/>
          <w:sz w:val="24"/>
          <w:szCs w:val="21"/>
          <w14:textFill>
            <w14:solidFill>
              <w14:schemeClr w14:val="tx1"/>
            </w14:solidFill>
          </w14:textFill>
        </w:rPr>
        <w:t>注：后附“信用中国”(网站：www.creditchina.gov.cn/)、“中国政府采购网”（网站：www.ccgp.gov.cn）网站查询截图。</w:t>
      </w:r>
    </w:p>
    <w:p>
      <w:pPr>
        <w:spacing w:before="159" w:beforeLines="50" w:after="159" w:afterLines="50" w:line="400" w:lineRule="exact"/>
        <w:ind w:right="1050" w:rightChars="500"/>
        <w:rPr>
          <w:rFonts w:ascii="仿宋_GB2312" w:hAnsi="仿宋" w:eastAsia="仿宋_GB2312" w:cs="仿宋_GB2312"/>
          <w:color w:val="000000" w:themeColor="text1"/>
          <w:sz w:val="24"/>
          <w:szCs w:val="21"/>
          <w14:textFill>
            <w14:solidFill>
              <w14:schemeClr w14:val="tx1"/>
            </w14:solidFill>
          </w14:textFill>
        </w:rPr>
      </w:pPr>
    </w:p>
    <w:p>
      <w:pPr>
        <w:spacing w:before="159" w:beforeLines="50" w:after="159" w:afterLines="50" w:line="400" w:lineRule="exact"/>
        <w:ind w:right="1050" w:rightChars="500"/>
        <w:rPr>
          <w:rFonts w:ascii="仿宋_GB2312" w:hAnsi="仿宋" w:eastAsia="仿宋_GB2312" w:cs="仿宋_GB2312"/>
          <w:color w:val="000000" w:themeColor="text1"/>
          <w:sz w:val="24"/>
          <w:szCs w:val="21"/>
          <w14:textFill>
            <w14:solidFill>
              <w14:schemeClr w14:val="tx1"/>
            </w14:solidFill>
          </w14:textFill>
        </w:rPr>
      </w:pPr>
    </w:p>
    <w:p>
      <w:pPr>
        <w:spacing w:line="360" w:lineRule="exact"/>
        <w:ind w:right="1050" w:rightChars="500"/>
        <w:rPr>
          <w:rFonts w:ascii="仿宋_GB2312" w:hAnsi="仿宋" w:eastAsia="仿宋_GB2312" w:cs="仿宋_GB2312"/>
          <w:color w:val="000000" w:themeColor="text1"/>
          <w:sz w:val="24"/>
          <w:szCs w:val="21"/>
          <w14:textFill>
            <w14:solidFill>
              <w14:schemeClr w14:val="tx1"/>
            </w14:solidFill>
          </w14:textFill>
        </w:rPr>
      </w:pPr>
    </w:p>
    <w:p>
      <w:pPr>
        <w:spacing w:line="48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投标人名称（加盖单位公章）：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spacing w:line="48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法定代表人（或</w:t>
      </w:r>
      <w:r>
        <w:rPr>
          <w:rFonts w:hint="eastAsia" w:ascii="仿宋_GB2312" w:hAnsi="仿宋" w:eastAsia="仿宋_GB2312" w:cs="仿宋_GB2312"/>
          <w:color w:val="000000" w:themeColor="text1"/>
          <w:sz w:val="24"/>
          <w:szCs w:val="21"/>
          <w14:textFill>
            <w14:solidFill>
              <w14:schemeClr w14:val="tx1"/>
            </w14:solidFill>
          </w14:textFill>
        </w:rPr>
        <w:t>非法人组织负责人）或</w:t>
      </w:r>
      <w:r>
        <w:rPr>
          <w:rFonts w:hint="eastAsia" w:ascii="仿宋_GB2312" w:hAnsi="仿宋" w:eastAsia="仿宋_GB2312" w:cs="仿宋_GB2312"/>
          <w:color w:val="000000" w:themeColor="text1"/>
          <w:sz w:val="24"/>
          <w14:textFill>
            <w14:solidFill>
              <w14:schemeClr w14:val="tx1"/>
            </w14:solidFill>
          </w14:textFill>
        </w:rPr>
        <w:t>其</w:t>
      </w:r>
      <w:r>
        <w:rPr>
          <w:rFonts w:hint="eastAsia" w:ascii="仿宋_GB2312" w:hAnsi="仿宋" w:eastAsia="仿宋_GB2312" w:cs="仿宋_GB2312"/>
          <w:color w:val="000000" w:themeColor="text1"/>
          <w:sz w:val="24"/>
          <w:szCs w:val="21"/>
          <w14:textFill>
            <w14:solidFill>
              <w14:schemeClr w14:val="tx1"/>
            </w14:solidFill>
          </w14:textFill>
        </w:rPr>
        <w:t>授权委托人</w:t>
      </w:r>
      <w:r>
        <w:rPr>
          <w:rFonts w:hint="eastAsia" w:ascii="仿宋_GB2312" w:hAnsi="仿宋" w:eastAsia="仿宋_GB2312" w:cs="仿宋_GB2312"/>
          <w:color w:val="000000" w:themeColor="text1"/>
          <w:sz w:val="24"/>
          <w14:textFill>
            <w14:solidFill>
              <w14:schemeClr w14:val="tx1"/>
            </w14:solidFill>
          </w14:textFill>
        </w:rPr>
        <w:t>(签字或盖章)：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spacing w:line="48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xml:space="preserve">日 </w:t>
      </w:r>
      <w:r>
        <w:rPr>
          <w:rFonts w:ascii="仿宋_GB2312" w:hAnsi="仿宋" w:eastAsia="仿宋_GB2312" w:cs="仿宋_GB2312"/>
          <w:color w:val="000000" w:themeColor="text1"/>
          <w:sz w:val="24"/>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期：</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pStyle w:val="3"/>
        <w:adjustRightInd w:val="0"/>
        <w:snapToGrid w:val="0"/>
        <w:spacing w:before="0" w:after="0" w:line="240" w:lineRule="auto"/>
        <w:jc w:val="left"/>
        <w:rPr>
          <w:rFonts w:ascii="仿宋_GB2312" w:hAnsi="仿宋" w:eastAsia="仿宋_GB2312" w:cs="仿宋_GB2312"/>
          <w:color w:val="000000" w:themeColor="text1"/>
          <w:szCs w:val="28"/>
          <w14:textFill>
            <w14:solidFill>
              <w14:schemeClr w14:val="tx1"/>
            </w14:solidFill>
          </w14:textFill>
        </w:rPr>
      </w:pPr>
      <w:r>
        <w:rPr>
          <w:rFonts w:hint="eastAsia" w:ascii="仿宋_GB2312" w:hAnsi="仿宋" w:eastAsia="仿宋_GB2312" w:cs="仿宋_GB2312"/>
          <w:color w:val="000000" w:themeColor="text1"/>
          <w:szCs w:val="21"/>
          <w14:textFill>
            <w14:solidFill>
              <w14:schemeClr w14:val="tx1"/>
            </w14:solidFill>
          </w14:textFill>
        </w:rPr>
        <w:br w:type="page"/>
      </w:r>
      <w:r>
        <w:rPr>
          <w:rFonts w:hint="eastAsia" w:ascii="仿宋_GB2312" w:hAnsi="仿宋" w:eastAsia="仿宋_GB2312" w:cs="仿宋_GB2312"/>
          <w:color w:val="000000" w:themeColor="text1"/>
          <w:szCs w:val="28"/>
          <w14:textFill>
            <w14:solidFill>
              <w14:schemeClr w14:val="tx1"/>
            </w14:solidFill>
          </w14:textFill>
        </w:rPr>
        <w:t>格式9</w:t>
      </w:r>
    </w:p>
    <w:p>
      <w:pPr>
        <w:spacing w:before="319" w:beforeLines="100" w:after="319" w:afterLines="100" w:line="360" w:lineRule="auto"/>
        <w:ind w:right="-21" w:rightChars="-10"/>
        <w:jc w:val="center"/>
        <w:rPr>
          <w:rFonts w:ascii="方正小标宋简体" w:hAnsi="仿宋" w:eastAsia="方正小标宋简体" w:cs="仿宋_GB2312"/>
          <w:color w:val="000000" w:themeColor="text1"/>
          <w:sz w:val="32"/>
          <w:szCs w:val="32"/>
          <w14:textFill>
            <w14:solidFill>
              <w14:schemeClr w14:val="tx1"/>
            </w14:solidFill>
          </w14:textFill>
        </w:rPr>
      </w:pPr>
      <w:bookmarkStart w:id="84" w:name="_Toc30548_WPSOffice_Level2"/>
      <w:bookmarkStart w:id="85" w:name="_Toc16873_WPSOffice_Level2"/>
      <w:r>
        <w:rPr>
          <w:rFonts w:hint="eastAsia" w:ascii="方正小标宋简体" w:hAnsi="仿宋" w:eastAsia="方正小标宋简体" w:cs="仿宋_GB2312"/>
          <w:color w:val="000000" w:themeColor="text1"/>
          <w:sz w:val="32"/>
          <w:szCs w:val="32"/>
          <w14:textFill>
            <w14:solidFill>
              <w14:schemeClr w14:val="tx1"/>
            </w14:solidFill>
          </w14:textFill>
        </w:rPr>
        <w:t>联合体协议书</w:t>
      </w:r>
      <w:bookmarkEnd w:id="84"/>
      <w:bookmarkEnd w:id="85"/>
      <w:r>
        <w:rPr>
          <w:rFonts w:hint="eastAsia" w:ascii="方正小标宋简体" w:hAnsi="仿宋" w:eastAsia="方正小标宋简体" w:cs="仿宋_GB2312"/>
          <w:color w:val="000000" w:themeColor="text1"/>
          <w:sz w:val="32"/>
          <w:szCs w:val="32"/>
          <w14:textFill>
            <w14:solidFill>
              <w14:schemeClr w14:val="tx1"/>
            </w14:solidFill>
          </w14:textFill>
        </w:rPr>
        <w:t>（002包 如有）</w:t>
      </w:r>
    </w:p>
    <w:p>
      <w:pPr>
        <w:pStyle w:val="11"/>
        <w:spacing w:line="440" w:lineRule="exac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u w:val="single"/>
          <w14:textFill>
            <w14:solidFill>
              <w14:schemeClr w14:val="tx1"/>
            </w14:solidFill>
          </w14:textFill>
        </w:rPr>
        <w:t>(采购人或采购组织机构)</w:t>
      </w:r>
      <w:r>
        <w:rPr>
          <w:rFonts w:hint="eastAsia" w:ascii="仿宋_GB2312" w:hAnsi="仿宋" w:eastAsia="仿宋_GB2312" w:cs="仿宋_GB2312"/>
          <w:color w:val="000000" w:themeColor="text1"/>
          <w:sz w:val="24"/>
          <w14:textFill>
            <w14:solidFill>
              <w14:schemeClr w14:val="tx1"/>
            </w14:solidFill>
          </w14:textFill>
        </w:rPr>
        <w:t>：</w:t>
      </w:r>
    </w:p>
    <w:p>
      <w:pPr>
        <w:pStyle w:val="11"/>
        <w:spacing w:line="44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经研究，我方决定自愿组成联合体共同参加</w:t>
      </w:r>
      <w:r>
        <w:rPr>
          <w:rFonts w:hint="eastAsia" w:ascii="仿宋_GB2312" w:hAnsi="仿宋" w:eastAsia="仿宋_GB2312" w:cs="仿宋_GB2312"/>
          <w:color w:val="000000" w:themeColor="text1"/>
          <w:sz w:val="24"/>
          <w:u w:val="single"/>
          <w14:textFill>
            <w14:solidFill>
              <w14:schemeClr w14:val="tx1"/>
            </w14:solidFill>
          </w14:textFill>
        </w:rPr>
        <w:t>(项目名称、项目编号、包号)</w:t>
      </w:r>
      <w:r>
        <w:rPr>
          <w:rFonts w:hint="eastAsia" w:ascii="仿宋_GB2312" w:hAnsi="仿宋" w:eastAsia="仿宋_GB2312" w:cs="仿宋_GB2312"/>
          <w:color w:val="000000" w:themeColor="text1"/>
          <w:sz w:val="24"/>
          <w14:textFill>
            <w14:solidFill>
              <w14:schemeClr w14:val="tx1"/>
            </w14:solidFill>
          </w14:textFill>
        </w:rPr>
        <w:t>项目的投标。现就联合体投标事宜订立如下协议：</w:t>
      </w:r>
    </w:p>
    <w:p>
      <w:pPr>
        <w:pStyle w:val="11"/>
        <w:spacing w:line="44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一、联合体成员：</w:t>
      </w:r>
    </w:p>
    <w:p>
      <w:pPr>
        <w:pStyle w:val="11"/>
        <w:spacing w:line="440" w:lineRule="exact"/>
        <w:ind w:firstLine="480" w:firstLineChars="200"/>
        <w:rPr>
          <w:rFonts w:ascii="仿宋_GB2312" w:hAnsi="仿宋" w:eastAsia="仿宋_GB2312" w:cs="仿宋_GB2312"/>
          <w:color w:val="000000" w:themeColor="text1"/>
          <w:sz w:val="24"/>
          <w:u w:val="single"/>
          <w14:textFill>
            <w14:solidFill>
              <w14:schemeClr w14:val="tx1"/>
            </w14:solidFill>
          </w14:textFill>
        </w:rPr>
      </w:pPr>
      <w:bookmarkStart w:id="86" w:name="_Toc15561_WPSOffice_Level2"/>
      <w:bookmarkStart w:id="87" w:name="_Toc23749_WPSOffice_Level2"/>
      <w:r>
        <w:rPr>
          <w:rFonts w:hint="eastAsia" w:ascii="仿宋_GB2312" w:hAnsi="仿宋" w:eastAsia="仿宋_GB2312" w:cs="仿宋_GB2312"/>
          <w:color w:val="000000" w:themeColor="text1"/>
          <w:sz w:val="24"/>
          <w14:textFill>
            <w14:solidFill>
              <w14:schemeClr w14:val="tx1"/>
            </w14:solidFill>
          </w14:textFill>
        </w:rPr>
        <w:t>1.</w:t>
      </w:r>
      <w:bookmarkEnd w:id="86"/>
      <w:bookmarkEnd w:id="87"/>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pStyle w:val="11"/>
        <w:spacing w:line="440" w:lineRule="exact"/>
        <w:ind w:firstLine="480" w:firstLineChars="200"/>
        <w:rPr>
          <w:rFonts w:ascii="仿宋_GB2312" w:hAnsi="仿宋" w:eastAsia="仿宋_GB2312" w:cs="仿宋_GB2312"/>
          <w:color w:val="000000" w:themeColor="text1"/>
          <w:sz w:val="24"/>
          <w:u w:val="single"/>
          <w14:textFill>
            <w14:solidFill>
              <w14:schemeClr w14:val="tx1"/>
            </w14:solidFill>
          </w14:textFill>
        </w:rPr>
      </w:pPr>
      <w:bookmarkStart w:id="88" w:name="_Toc22173_WPSOffice_Level2"/>
      <w:bookmarkStart w:id="89" w:name="_Toc405_WPSOffice_Level2"/>
      <w:r>
        <w:rPr>
          <w:rFonts w:hint="eastAsia" w:ascii="仿宋_GB2312" w:hAnsi="仿宋" w:eastAsia="仿宋_GB2312" w:cs="仿宋_GB2312"/>
          <w:color w:val="000000" w:themeColor="text1"/>
          <w:sz w:val="24"/>
          <w14:textFill>
            <w14:solidFill>
              <w14:schemeClr w14:val="tx1"/>
            </w14:solidFill>
          </w14:textFill>
        </w:rPr>
        <w:t>2.</w:t>
      </w:r>
      <w:bookmarkEnd w:id="88"/>
      <w:bookmarkEnd w:id="89"/>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pStyle w:val="11"/>
        <w:spacing w:line="44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w:t>
      </w:r>
    </w:p>
    <w:p>
      <w:pPr>
        <w:pStyle w:val="11"/>
        <w:spacing w:line="44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二、</w:t>
      </w:r>
      <w:r>
        <w:rPr>
          <w:rFonts w:hint="eastAsia" w:ascii="仿宋_GB2312" w:hAnsi="仿宋" w:eastAsia="仿宋_GB2312" w:cs="仿宋_GB2312"/>
          <w:color w:val="000000" w:themeColor="text1"/>
          <w:sz w:val="24"/>
          <w:u w:val="single"/>
          <w14:textFill>
            <w14:solidFill>
              <w14:schemeClr w14:val="tx1"/>
            </w14:solidFill>
          </w14:textFill>
        </w:rPr>
        <w:t>(某成员单位名称)</w:t>
      </w:r>
      <w:r>
        <w:rPr>
          <w:rFonts w:hint="eastAsia" w:ascii="仿宋_GB2312" w:hAnsi="仿宋" w:eastAsia="仿宋_GB2312" w:cs="仿宋_GB2312"/>
          <w:color w:val="000000" w:themeColor="text1"/>
          <w:sz w:val="24"/>
          <w14:textFill>
            <w14:solidFill>
              <w14:schemeClr w14:val="tx1"/>
            </w14:solidFill>
          </w14:textFill>
        </w:rPr>
        <w:t>为(联合体名称)牵头人。</w:t>
      </w:r>
    </w:p>
    <w:p>
      <w:pPr>
        <w:pStyle w:val="11"/>
        <w:spacing w:line="44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三、联合体牵头人合法代表联合体各成员负责本项目投标文件编制活动，代表联合体提交和接收相关的资料、信息及指示，并处理与投标或成交有关的一切事务；联合体中标后，联合体牵头人负责合同订立和合同实施阶段的主办、组织和协调工作。</w:t>
      </w:r>
    </w:p>
    <w:p>
      <w:pPr>
        <w:pStyle w:val="11"/>
        <w:spacing w:line="44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四、联合体将严格按照招标文件的各项要求，递交投标文件，参加投标，履行中标义务和中标后的合同，并向采购人承担连带责任。</w:t>
      </w:r>
    </w:p>
    <w:p>
      <w:pPr>
        <w:adjustRightInd w:val="0"/>
        <w:snapToGrid w:val="0"/>
        <w:spacing w:line="440" w:lineRule="exact"/>
        <w:ind w:firstLine="480" w:firstLineChars="20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五、联合体各成员单位内部的职责分工如下：</w:t>
      </w:r>
      <w:r>
        <w:rPr>
          <w:rFonts w:hint="eastAsia" w:ascii="仿宋_GB2312" w:hAnsi="仿宋" w:eastAsia="仿宋_GB2312"/>
          <w:color w:val="000000" w:themeColor="text1"/>
          <w:sz w:val="24"/>
          <w:u w:val="single"/>
          <w14:textFill>
            <w14:solidFill>
              <w14:schemeClr w14:val="tx1"/>
            </w14:solidFill>
          </w14:textFill>
        </w:rPr>
        <w:t xml:space="preserve">                  </w:t>
      </w:r>
      <w:r>
        <w:rPr>
          <w:rFonts w:hint="eastAsia" w:ascii="仿宋_GB2312" w:hAnsi="仿宋" w:eastAsia="仿宋_GB2312"/>
          <w:color w:val="000000" w:themeColor="text1"/>
          <w:sz w:val="24"/>
          <w14:textFill>
            <w14:solidFill>
              <w14:schemeClr w14:val="tx1"/>
            </w14:solidFill>
          </w14:textFill>
        </w:rPr>
        <w:t>。按照本条上述分工，联合体成员单位各自所承担的合同工作量比例如下：</w:t>
      </w:r>
      <w:r>
        <w:rPr>
          <w:rFonts w:hint="eastAsia" w:ascii="仿宋_GB2312" w:hAnsi="仿宋" w:eastAsia="仿宋_GB2312"/>
          <w:color w:val="000000" w:themeColor="text1"/>
          <w:sz w:val="24"/>
          <w:u w:val="single"/>
          <w14:textFill>
            <w14:solidFill>
              <w14:schemeClr w14:val="tx1"/>
            </w14:solidFill>
          </w14:textFill>
        </w:rPr>
        <w:t xml:space="preserve">                  </w:t>
      </w:r>
      <w:r>
        <w:rPr>
          <w:rFonts w:hint="eastAsia" w:ascii="仿宋_GB2312" w:hAnsi="仿宋" w:eastAsia="仿宋_GB2312"/>
          <w:color w:val="000000" w:themeColor="text1"/>
          <w:sz w:val="24"/>
          <w14:textFill>
            <w14:solidFill>
              <w14:schemeClr w14:val="tx1"/>
            </w14:solidFill>
          </w14:textFill>
        </w:rPr>
        <w:t>。大中型企业、其他自然人、法人或者非法人组织与小型、微型企业组成联合体共同参加投标的，小型、微型企业的协议合同金额占到共同投标协议投标总金额的比例如下：</w:t>
      </w:r>
      <w:r>
        <w:rPr>
          <w:rFonts w:hint="eastAsia" w:ascii="仿宋_GB2312" w:hAnsi="仿宋" w:eastAsia="仿宋_GB2312"/>
          <w:color w:val="000000" w:themeColor="text1"/>
          <w:sz w:val="24"/>
          <w:u w:val="single"/>
          <w14:textFill>
            <w14:solidFill>
              <w14:schemeClr w14:val="tx1"/>
            </w14:solidFill>
          </w14:textFill>
        </w:rPr>
        <w:t xml:space="preserve">                  </w:t>
      </w:r>
      <w:r>
        <w:rPr>
          <w:rFonts w:hint="eastAsia" w:ascii="仿宋_GB2312" w:hAnsi="仿宋" w:eastAsia="仿宋_GB2312"/>
          <w:color w:val="000000" w:themeColor="text1"/>
          <w:sz w:val="24"/>
          <w14:textFill>
            <w14:solidFill>
              <w14:schemeClr w14:val="tx1"/>
            </w14:solidFill>
          </w14:textFill>
        </w:rPr>
        <w:t>。</w:t>
      </w:r>
    </w:p>
    <w:p>
      <w:pPr>
        <w:pStyle w:val="11"/>
        <w:spacing w:line="44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六、本协议书自签署之日起生效，合同履行完毕后自动失效。</w:t>
      </w:r>
    </w:p>
    <w:p>
      <w:pPr>
        <w:pStyle w:val="11"/>
        <w:spacing w:line="440" w:lineRule="exact"/>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七、本协议书一式</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份，联合体成员和采购人各执</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份。</w:t>
      </w:r>
    </w:p>
    <w:p>
      <w:pPr>
        <w:pStyle w:val="11"/>
        <w:spacing w:line="440" w:lineRule="exact"/>
        <w:rPr>
          <w:rFonts w:ascii="仿宋_GB2312" w:hAnsi="仿宋" w:eastAsia="仿宋_GB2312" w:cs="仿宋_GB2312"/>
          <w:color w:val="000000" w:themeColor="text1"/>
          <w:sz w:val="24"/>
          <w:u w:val="single"/>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牵头人名称(加盖单位公章)：</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pStyle w:val="11"/>
        <w:spacing w:line="440" w:lineRule="exac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法定代表人或其授权委托人(签字或盖章)：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pStyle w:val="11"/>
        <w:spacing w:line="440" w:lineRule="exact"/>
        <w:rPr>
          <w:rFonts w:ascii="仿宋_GB2312" w:hAnsi="仿宋" w:eastAsia="仿宋_GB2312" w:cs="仿宋_GB2312"/>
          <w:color w:val="000000" w:themeColor="text1"/>
          <w:sz w:val="24"/>
          <w:u w:val="single"/>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成员名称(加盖单位公章)：</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pStyle w:val="11"/>
        <w:spacing w:line="440" w:lineRule="exact"/>
        <w:rPr>
          <w:rFonts w:ascii="仿宋_GB2312" w:hAnsi="仿宋" w:eastAsia="仿宋_GB2312" w:cs="仿宋_GB2312"/>
          <w:color w:val="000000" w:themeColor="text1"/>
          <w:sz w:val="24"/>
          <w:u w:val="single"/>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法定代表人或其授权委托人(签字或盖章)：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pStyle w:val="11"/>
        <w:spacing w:line="440" w:lineRule="exac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w:t>
      </w:r>
    </w:p>
    <w:p>
      <w:pPr>
        <w:spacing w:line="440" w:lineRule="exact"/>
        <w:ind w:right="1050" w:rightChars="500"/>
        <w:jc w:val="left"/>
        <w:rPr>
          <w:rFonts w:ascii="仿宋_GB2312" w:hAnsi="仿宋" w:eastAsia="仿宋_GB2312" w:cs="仿宋_GB2312"/>
          <w:color w:val="000000" w:themeColor="text1"/>
          <w:sz w:val="24"/>
          <w:szCs w:val="21"/>
          <w:u w:val="single"/>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 xml:space="preserve">日 </w:t>
      </w:r>
      <w:r>
        <w:rPr>
          <w:rFonts w:ascii="仿宋_GB2312" w:hAnsi="仿宋" w:eastAsia="仿宋_GB2312" w:cs="仿宋_GB2312"/>
          <w:color w:val="000000" w:themeColor="text1"/>
          <w:sz w:val="24"/>
          <w:szCs w:val="21"/>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期：</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 xml:space="preserve"> </w:t>
      </w:r>
    </w:p>
    <w:p>
      <w:pPr>
        <w:pStyle w:val="3"/>
        <w:adjustRightInd w:val="0"/>
        <w:snapToGrid w:val="0"/>
        <w:spacing w:before="0" w:after="0" w:line="240" w:lineRule="auto"/>
        <w:jc w:val="left"/>
        <w:rPr>
          <w:rFonts w:ascii="仿宋_GB2312" w:hAnsi="仿宋" w:eastAsia="仿宋_GB2312" w:cs="仿宋_GB2312"/>
          <w:color w:val="000000" w:themeColor="text1"/>
          <w:szCs w:val="28"/>
          <w14:textFill>
            <w14:solidFill>
              <w14:schemeClr w14:val="tx1"/>
            </w14:solidFill>
          </w14:textFill>
        </w:rPr>
      </w:pPr>
      <w:r>
        <w:rPr>
          <w:rFonts w:hint="eastAsia" w:ascii="仿宋_GB2312" w:hAnsi="仿宋" w:eastAsia="仿宋_GB2312" w:cs="仿宋_GB2312"/>
          <w:b w:val="0"/>
          <w:color w:val="000000" w:themeColor="text1"/>
          <w:szCs w:val="28"/>
          <w14:textFill>
            <w14:solidFill>
              <w14:schemeClr w14:val="tx1"/>
            </w14:solidFill>
          </w14:textFill>
        </w:rPr>
        <w:br w:type="page"/>
      </w:r>
      <w:r>
        <w:rPr>
          <w:rFonts w:hint="eastAsia" w:ascii="仿宋_GB2312" w:hAnsi="仿宋" w:eastAsia="仿宋_GB2312" w:cs="仿宋_GB2312"/>
          <w:color w:val="000000" w:themeColor="text1"/>
          <w:szCs w:val="28"/>
          <w14:textFill>
            <w14:solidFill>
              <w14:schemeClr w14:val="tx1"/>
            </w14:solidFill>
          </w14:textFill>
        </w:rPr>
        <w:t>格式10</w:t>
      </w:r>
    </w:p>
    <w:p>
      <w:pPr>
        <w:spacing w:before="319" w:beforeLines="100" w:after="319" w:afterLines="100" w:line="360" w:lineRule="auto"/>
        <w:ind w:right="-21" w:rightChars="-10"/>
        <w:jc w:val="center"/>
        <w:rPr>
          <w:rFonts w:ascii="方正小标宋简体" w:hAnsi="仿宋" w:eastAsia="方正小标宋简体" w:cs="仿宋_GB2312"/>
          <w:color w:val="000000" w:themeColor="text1"/>
          <w:sz w:val="32"/>
          <w:szCs w:val="32"/>
          <w14:textFill>
            <w14:solidFill>
              <w14:schemeClr w14:val="tx1"/>
            </w14:solidFill>
          </w14:textFill>
        </w:rPr>
      </w:pPr>
      <w:bookmarkStart w:id="90" w:name="_Toc14782_WPSOffice_Level2"/>
      <w:bookmarkStart w:id="91" w:name="_Toc24841_WPSOffice_Level2"/>
      <w:r>
        <w:rPr>
          <w:rFonts w:hint="eastAsia" w:ascii="方正小标宋简体" w:hAnsi="仿宋" w:eastAsia="方正小标宋简体" w:cs="仿宋_GB2312"/>
          <w:color w:val="000000" w:themeColor="text1"/>
          <w:sz w:val="32"/>
          <w:szCs w:val="32"/>
          <w14:textFill>
            <w14:solidFill>
              <w14:schemeClr w14:val="tx1"/>
            </w14:solidFill>
          </w14:textFill>
        </w:rPr>
        <w:t>投标函</w:t>
      </w:r>
      <w:bookmarkEnd w:id="90"/>
      <w:bookmarkEnd w:id="91"/>
    </w:p>
    <w:p>
      <w:pPr>
        <w:adjustRightInd w:val="0"/>
        <w:snapToGrid w:val="0"/>
        <w:spacing w:line="380" w:lineRule="exact"/>
        <w:ind w:right="630" w:rightChars="300"/>
        <w:rPr>
          <w:rFonts w:ascii="仿宋_GB2312" w:hAnsi="仿宋" w:eastAsia="仿宋_GB2312" w:cs="仿宋_GB2312"/>
          <w:color w:val="000000" w:themeColor="text1"/>
          <w:sz w:val="24"/>
          <w:szCs w:val="21"/>
          <w:u w:val="single"/>
          <w14:textFill>
            <w14:solidFill>
              <w14:schemeClr w14:val="tx1"/>
            </w14:solidFill>
          </w14:textFill>
        </w:rPr>
      </w:pPr>
      <w:r>
        <w:rPr>
          <w:rFonts w:hint="eastAsia" w:ascii="仿宋_GB2312" w:hAnsi="仿宋" w:eastAsia="仿宋_GB2312" w:cs="仿宋_GB2312"/>
          <w:color w:val="000000" w:themeColor="text1"/>
          <w:sz w:val="24"/>
          <w:szCs w:val="21"/>
          <w:u w:val="single"/>
          <w14:textFill>
            <w14:solidFill>
              <w14:schemeClr w14:val="tx1"/>
            </w14:solidFill>
          </w14:textFill>
        </w:rPr>
        <w:t>（采购人或采购组织机构）：</w:t>
      </w:r>
    </w:p>
    <w:p>
      <w:pPr>
        <w:adjustRightInd w:val="0"/>
        <w:snapToGrid w:val="0"/>
        <w:spacing w:line="380" w:lineRule="exact"/>
        <w:ind w:right="-21" w:rightChars="-1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 xml:space="preserve">    根据贵方</w:t>
      </w:r>
      <w:r>
        <w:rPr>
          <w:rFonts w:hint="eastAsia" w:ascii="仿宋_GB2312" w:hAnsi="仿宋" w:eastAsia="仿宋_GB2312" w:cs="仿宋_GB2312"/>
          <w:color w:val="000000" w:themeColor="text1"/>
          <w:sz w:val="24"/>
          <w:szCs w:val="21"/>
          <w:u w:val="single"/>
          <w14:textFill>
            <w14:solidFill>
              <w14:schemeClr w14:val="tx1"/>
            </w14:solidFill>
          </w14:textFill>
        </w:rPr>
        <w:t>(项目名称)</w:t>
      </w:r>
      <w:r>
        <w:rPr>
          <w:rFonts w:hint="eastAsia" w:ascii="仿宋_GB2312" w:hAnsi="仿宋" w:eastAsia="仿宋_GB2312" w:cs="仿宋_GB2312"/>
          <w:color w:val="000000" w:themeColor="text1"/>
          <w:sz w:val="24"/>
          <w:szCs w:val="21"/>
          <w14:textFill>
            <w14:solidFill>
              <w14:schemeClr w14:val="tx1"/>
            </w14:solidFill>
          </w14:textFill>
        </w:rPr>
        <w:t>项目的招标公告</w:t>
      </w:r>
      <w:r>
        <w:rPr>
          <w:rFonts w:hint="eastAsia" w:ascii="仿宋_GB2312" w:hAnsi="仿宋" w:eastAsia="仿宋_GB2312" w:cs="仿宋_GB2312"/>
          <w:color w:val="000000" w:themeColor="text1"/>
          <w:sz w:val="24"/>
          <w:szCs w:val="21"/>
          <w:u w:val="single"/>
          <w14:textFill>
            <w14:solidFill>
              <w14:schemeClr w14:val="tx1"/>
            </w14:solidFill>
          </w14:textFill>
        </w:rPr>
        <w:t>(招标编号)</w:t>
      </w:r>
      <w:r>
        <w:rPr>
          <w:rFonts w:hint="eastAsia" w:ascii="仿宋_GB2312" w:hAnsi="仿宋" w:eastAsia="仿宋_GB2312" w:cs="仿宋_GB2312"/>
          <w:color w:val="000000" w:themeColor="text1"/>
          <w:sz w:val="24"/>
          <w:szCs w:val="21"/>
          <w14:textFill>
            <w14:solidFill>
              <w14:schemeClr w14:val="tx1"/>
            </w14:solidFill>
          </w14:textFill>
        </w:rPr>
        <w:t>,签字代表</w:t>
      </w:r>
      <w:r>
        <w:rPr>
          <w:rFonts w:hint="eastAsia" w:ascii="仿宋_GB2312" w:hAnsi="仿宋" w:eastAsia="仿宋_GB2312" w:cs="仿宋_GB2312"/>
          <w:color w:val="000000" w:themeColor="text1"/>
          <w:sz w:val="24"/>
          <w:szCs w:val="21"/>
          <w:u w:val="single"/>
          <w14:textFill>
            <w14:solidFill>
              <w14:schemeClr w14:val="tx1"/>
            </w14:solidFill>
          </w14:textFill>
        </w:rPr>
        <w:t>(姓名、职务)</w:t>
      </w:r>
      <w:r>
        <w:rPr>
          <w:rFonts w:hint="eastAsia" w:ascii="仿宋_GB2312" w:hAnsi="仿宋" w:eastAsia="仿宋_GB2312" w:cs="仿宋_GB2312"/>
          <w:color w:val="000000" w:themeColor="text1"/>
          <w:sz w:val="24"/>
          <w:szCs w:val="21"/>
          <w14:textFill>
            <w14:solidFill>
              <w14:schemeClr w14:val="tx1"/>
            </w14:solidFill>
          </w14:textFill>
        </w:rPr>
        <w:t>经正式授权并代表投标人</w:t>
      </w:r>
      <w:r>
        <w:rPr>
          <w:rFonts w:hint="eastAsia" w:ascii="仿宋_GB2312" w:hAnsi="仿宋" w:eastAsia="仿宋_GB2312" w:cs="仿宋_GB2312"/>
          <w:color w:val="000000" w:themeColor="text1"/>
          <w:sz w:val="24"/>
          <w:szCs w:val="21"/>
          <w:u w:val="single"/>
          <w14:textFill>
            <w14:solidFill>
              <w14:schemeClr w14:val="tx1"/>
            </w14:solidFill>
          </w14:textFill>
        </w:rPr>
        <w:t>（名称、地址）</w:t>
      </w:r>
      <w:r>
        <w:rPr>
          <w:rFonts w:hint="eastAsia" w:ascii="仿宋_GB2312" w:hAnsi="仿宋" w:eastAsia="仿宋_GB2312" w:cs="仿宋_GB2312"/>
          <w:color w:val="000000" w:themeColor="text1"/>
          <w:sz w:val="24"/>
          <w:szCs w:val="21"/>
          <w14:textFill>
            <w14:solidFill>
              <w14:schemeClr w14:val="tx1"/>
            </w14:solidFill>
          </w14:textFill>
        </w:rPr>
        <w:t>线上提交投标（响应）文件加密电子版及现场提交加密的电子文档各</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1 </w:t>
      </w:r>
      <w:r>
        <w:rPr>
          <w:rFonts w:hint="eastAsia" w:ascii="仿宋_GB2312" w:hAnsi="仿宋" w:eastAsia="仿宋_GB2312" w:cs="仿宋_GB2312"/>
          <w:color w:val="000000" w:themeColor="text1"/>
          <w:sz w:val="24"/>
          <w:szCs w:val="21"/>
          <w14:textFill>
            <w14:solidFill>
              <w14:schemeClr w14:val="tx1"/>
            </w14:solidFill>
          </w14:textFill>
        </w:rPr>
        <w:t>份，并以</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形式出具的金额为</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人民币/元的投标保证金。</w:t>
      </w:r>
    </w:p>
    <w:p>
      <w:pPr>
        <w:adjustRightInd w:val="0"/>
        <w:snapToGrid w:val="0"/>
        <w:spacing w:line="380" w:lineRule="exact"/>
        <w:ind w:right="-21" w:rightChars="-10" w:firstLine="480" w:firstLineChars="20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据此，签字代表宣布同意如下：</w:t>
      </w:r>
    </w:p>
    <w:p>
      <w:pPr>
        <w:numPr>
          <w:ilvl w:val="0"/>
          <w:numId w:val="5"/>
        </w:numPr>
        <w:adjustRightInd w:val="0"/>
        <w:snapToGrid w:val="0"/>
        <w:spacing w:line="380" w:lineRule="exact"/>
        <w:ind w:right="-21" w:rightChars="-10" w:firstLine="480" w:firstLineChars="20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本项目投标总价详见开标一览表。</w:t>
      </w:r>
    </w:p>
    <w:p>
      <w:pPr>
        <w:numPr>
          <w:ilvl w:val="0"/>
          <w:numId w:val="5"/>
        </w:numPr>
        <w:adjustRightInd w:val="0"/>
        <w:snapToGrid w:val="0"/>
        <w:spacing w:line="380" w:lineRule="exact"/>
        <w:ind w:right="-21" w:rightChars="-10" w:firstLine="480" w:firstLineChars="20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本投标有效期为自递交投标文件截止之日起</w:t>
      </w:r>
      <w:r>
        <w:rPr>
          <w:rFonts w:hint="eastAsia" w:ascii="仿宋_GB2312" w:hAnsi="仿宋" w:eastAsia="仿宋_GB2312" w:cs="仿宋_GB2312"/>
          <w:color w:val="000000" w:themeColor="text1"/>
          <w:sz w:val="24"/>
          <w:szCs w:val="21"/>
          <w:u w:val="single"/>
          <w14:textFill>
            <w14:solidFill>
              <w14:schemeClr w14:val="tx1"/>
            </w14:solidFill>
          </w14:textFill>
        </w:rPr>
        <w:t>90</w:t>
      </w:r>
      <w:r>
        <w:rPr>
          <w:rFonts w:hint="eastAsia" w:ascii="仿宋_GB2312" w:hAnsi="仿宋" w:eastAsia="仿宋_GB2312" w:cs="仿宋_GB2312"/>
          <w:color w:val="000000" w:themeColor="text1"/>
          <w:sz w:val="24"/>
          <w:szCs w:val="21"/>
          <w14:textFill>
            <w14:solidFill>
              <w14:schemeClr w14:val="tx1"/>
            </w14:solidFill>
          </w14:textFill>
        </w:rPr>
        <w:t>日历日。</w:t>
      </w:r>
    </w:p>
    <w:p>
      <w:pPr>
        <w:adjustRightInd w:val="0"/>
        <w:snapToGrid w:val="0"/>
        <w:spacing w:line="380" w:lineRule="exact"/>
        <w:ind w:right="-21" w:rightChars="-10" w:firstLine="480" w:firstLineChars="20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（3）已详细审查全部招标文件，包括所有补充通知（如有）。</w:t>
      </w:r>
    </w:p>
    <w:p>
      <w:pPr>
        <w:adjustRightInd w:val="0"/>
        <w:snapToGrid w:val="0"/>
        <w:spacing w:line="380" w:lineRule="exact"/>
        <w:ind w:right="-21" w:rightChars="-10" w:firstLine="480" w:firstLineChars="20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（4）在规定的开标时间后，遵守招标文件中有关保证金的规定。</w:t>
      </w:r>
    </w:p>
    <w:p>
      <w:pPr>
        <w:adjustRightInd w:val="0"/>
        <w:snapToGrid w:val="0"/>
        <w:spacing w:line="380" w:lineRule="exact"/>
        <w:ind w:right="-21" w:rightChars="-10" w:firstLine="480" w:firstLineChars="20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（5）我方不是为本项目提供整体设计、规范编制或者项目管理、检测等服务的供应商，我方不是采购组织机构的附属机构。</w:t>
      </w:r>
    </w:p>
    <w:p>
      <w:pPr>
        <w:adjustRightInd w:val="0"/>
        <w:snapToGrid w:val="0"/>
        <w:spacing w:line="380" w:lineRule="exact"/>
        <w:ind w:right="-21" w:rightChars="-10" w:firstLine="480" w:firstLineChars="20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（6）我方承诺在领取中标通知书的同时按招标文件规定的形式，向采购组织机构一次性支付采购代理服务费（适用于中标人支付采购代理服务费情形）。</w:t>
      </w:r>
    </w:p>
    <w:p>
      <w:pPr>
        <w:adjustRightInd w:val="0"/>
        <w:snapToGrid w:val="0"/>
        <w:spacing w:line="380" w:lineRule="exact"/>
        <w:ind w:right="-21" w:rightChars="-10" w:firstLine="480" w:firstLineChars="20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（7）按照贵方可能要求，提供与其投标有关的一切数据或资料，完全理解贵方不一定接受最低价的投标或收到的任何投标。</w:t>
      </w:r>
    </w:p>
    <w:p>
      <w:pPr>
        <w:adjustRightInd w:val="0"/>
        <w:snapToGrid w:val="0"/>
        <w:spacing w:line="380" w:lineRule="exact"/>
        <w:ind w:right="-21" w:rightChars="-10" w:firstLine="480" w:firstLineChars="20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（8）按照招标文件的规定履行合同责任和义务。</w:t>
      </w:r>
    </w:p>
    <w:p>
      <w:pPr>
        <w:adjustRightInd w:val="0"/>
        <w:snapToGrid w:val="0"/>
        <w:spacing w:line="380" w:lineRule="exact"/>
        <w:ind w:right="-21" w:rightChars="-10" w:firstLine="480" w:firstLineChars="20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（9）我方承诺投标文件中的证明材料真实、合法、有效。</w:t>
      </w:r>
    </w:p>
    <w:p>
      <w:pPr>
        <w:adjustRightInd w:val="0"/>
        <w:snapToGrid w:val="0"/>
        <w:spacing w:line="380" w:lineRule="exact"/>
        <w:ind w:right="-21" w:rightChars="-10" w:firstLine="480" w:firstLineChars="20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（10）我方承诺如果我方所投一个以上包组均被评标委员会推荐为排名第一的候选成交人，我方优先选择成交包组的顺序依次为：1.</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（包）、2.</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（包）、</w:t>
      </w:r>
      <w:r>
        <w:rPr>
          <w:rFonts w:ascii="仿宋_GB2312" w:hAnsi="仿宋" w:eastAsia="仿宋_GB2312" w:cs="仿宋_GB2312"/>
          <w:color w:val="000000" w:themeColor="text1"/>
          <w:sz w:val="24"/>
          <w14:textFill>
            <w14:solidFill>
              <w14:schemeClr w14:val="tx1"/>
            </w14:solidFill>
          </w14:textFill>
        </w:rPr>
        <w:t>3</w:t>
      </w: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（包）、4.</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（包）。</w:t>
      </w:r>
    </w:p>
    <w:p>
      <w:pPr>
        <w:adjustRightInd w:val="0"/>
        <w:snapToGrid w:val="0"/>
        <w:spacing w:line="380" w:lineRule="exact"/>
        <w:ind w:right="-21" w:rightChars="-10" w:firstLine="480" w:firstLineChars="20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其他事项：</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w:t>
      </w:r>
    </w:p>
    <w:p>
      <w:pPr>
        <w:adjustRightInd w:val="0"/>
        <w:snapToGrid w:val="0"/>
        <w:spacing w:line="400" w:lineRule="exact"/>
        <w:ind w:right="-21" w:rightChars="-10" w:firstLine="420" w:firstLineChars="200"/>
        <w:rPr>
          <w:color w:val="000000" w:themeColor="text1"/>
          <w14:textFill>
            <w14:solidFill>
              <w14:schemeClr w14:val="tx1"/>
            </w14:solidFill>
          </w14:textFill>
        </w:rPr>
      </w:pPr>
    </w:p>
    <w:p>
      <w:pPr>
        <w:adjustRightInd w:val="0"/>
        <w:snapToGrid w:val="0"/>
        <w:spacing w:line="360" w:lineRule="exact"/>
        <w:ind w:right="-21" w:rightChars="-1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与本项目有关的一切往来通讯请寄</w:t>
      </w:r>
    </w:p>
    <w:p>
      <w:pPr>
        <w:adjustRightInd w:val="0"/>
        <w:snapToGrid w:val="0"/>
        <w:spacing w:line="360" w:lineRule="exact"/>
        <w:ind w:right="-21" w:rightChars="-10"/>
        <w:rPr>
          <w:rFonts w:ascii="仿宋_GB2312" w:hAnsi="仿宋" w:eastAsia="仿宋_GB2312" w:cs="仿宋_GB2312"/>
          <w:color w:val="000000" w:themeColor="text1"/>
          <w:sz w:val="24"/>
          <w:szCs w:val="21"/>
          <w:u w:val="single"/>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 xml:space="preserve">地 </w:t>
      </w:r>
      <w:r>
        <w:rPr>
          <w:rFonts w:ascii="仿宋_GB2312" w:hAnsi="仿宋" w:eastAsia="仿宋_GB2312" w:cs="仿宋_GB2312"/>
          <w:color w:val="000000" w:themeColor="text1"/>
          <w:sz w:val="24"/>
          <w:szCs w:val="21"/>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址：</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 xml:space="preserve">         传 </w:t>
      </w:r>
      <w:r>
        <w:rPr>
          <w:rFonts w:ascii="仿宋_GB2312" w:hAnsi="仿宋" w:eastAsia="仿宋_GB2312" w:cs="仿宋_GB2312"/>
          <w:color w:val="000000" w:themeColor="text1"/>
          <w:sz w:val="24"/>
          <w:szCs w:val="21"/>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真：</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p>
    <w:p>
      <w:pPr>
        <w:adjustRightInd w:val="0"/>
        <w:snapToGrid w:val="0"/>
        <w:spacing w:line="360" w:lineRule="exact"/>
        <w:ind w:right="-21" w:rightChars="-10"/>
        <w:rPr>
          <w:rFonts w:ascii="仿宋_GB2312" w:hAnsi="仿宋" w:eastAsia="仿宋_GB2312" w:cs="仿宋_GB2312"/>
          <w:color w:val="000000" w:themeColor="text1"/>
          <w:sz w:val="24"/>
          <w:szCs w:val="21"/>
          <w:u w:val="single"/>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 xml:space="preserve">电 </w:t>
      </w:r>
      <w:r>
        <w:rPr>
          <w:rFonts w:ascii="仿宋_GB2312" w:hAnsi="仿宋" w:eastAsia="仿宋_GB2312" w:cs="仿宋_GB2312"/>
          <w:color w:val="000000" w:themeColor="text1"/>
          <w:sz w:val="24"/>
          <w:szCs w:val="21"/>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话：</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 xml:space="preserve">         电子邮件：</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p>
    <w:p>
      <w:pPr>
        <w:adjustRightInd w:val="0"/>
        <w:snapToGrid w:val="0"/>
        <w:spacing w:line="360" w:lineRule="exact"/>
        <w:ind w:right="-21" w:rightChars="-10"/>
        <w:rPr>
          <w:rFonts w:ascii="仿宋_GB2312" w:hAnsi="仿宋" w:eastAsia="仿宋_GB2312" w:cs="仿宋_GB2312"/>
          <w:color w:val="000000" w:themeColor="text1"/>
          <w:sz w:val="24"/>
          <w:szCs w:val="21"/>
          <w:u w:val="single"/>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法定代表人（非法人组织负责人）或其授权委托人（签字或盖章）：</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p>
    <w:p>
      <w:pPr>
        <w:adjustRightInd w:val="0"/>
        <w:snapToGrid w:val="0"/>
        <w:spacing w:line="360" w:lineRule="exact"/>
        <w:ind w:right="-21" w:rightChars="-1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投标人名称（加盖单位公章）：</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p>
    <w:p>
      <w:pPr>
        <w:adjustRightInd w:val="0"/>
        <w:snapToGrid w:val="0"/>
        <w:spacing w:line="360" w:lineRule="exact"/>
        <w:ind w:right="-21" w:rightChars="-1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投标人开户银行（全称）：</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p>
    <w:p>
      <w:pPr>
        <w:adjustRightInd w:val="0"/>
        <w:snapToGrid w:val="0"/>
        <w:spacing w:line="360" w:lineRule="exact"/>
        <w:ind w:right="-21" w:rightChars="-1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投标人银行账号：</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p>
    <w:p>
      <w:pPr>
        <w:adjustRightInd w:val="0"/>
        <w:snapToGrid w:val="0"/>
        <w:spacing w:line="360" w:lineRule="exact"/>
        <w:ind w:right="1050" w:rightChars="500"/>
        <w:rPr>
          <w:rFonts w:ascii="仿宋_GB2312" w:hAnsi="仿宋" w:eastAsia="仿宋_GB2312" w:cs="仿宋_GB2312"/>
          <w:color w:val="000000" w:themeColor="text1"/>
          <w:sz w:val="24"/>
          <w:szCs w:val="21"/>
          <w:u w:val="single"/>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 xml:space="preserve">日  </w:t>
      </w:r>
      <w:r>
        <w:rPr>
          <w:rFonts w:ascii="仿宋_GB2312" w:hAnsi="仿宋" w:eastAsia="仿宋_GB2312" w:cs="仿宋_GB2312"/>
          <w:color w:val="000000" w:themeColor="text1"/>
          <w:sz w:val="24"/>
          <w:szCs w:val="21"/>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 xml:space="preserve">  期：</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p>
    <w:p>
      <w:pPr>
        <w:pStyle w:val="3"/>
        <w:adjustRightInd w:val="0"/>
        <w:snapToGrid w:val="0"/>
        <w:spacing w:before="0" w:after="0" w:line="240" w:lineRule="auto"/>
        <w:jc w:val="left"/>
        <w:rPr>
          <w:rFonts w:ascii="仿宋_GB2312" w:hAnsi="仿宋" w:eastAsia="仿宋_GB2312" w:cs="仿宋_GB2312"/>
          <w:color w:val="000000" w:themeColor="text1"/>
          <w:szCs w:val="28"/>
          <w14:textFill>
            <w14:solidFill>
              <w14:schemeClr w14:val="tx1"/>
            </w14:solidFill>
          </w14:textFill>
        </w:rPr>
      </w:pPr>
      <w:r>
        <w:rPr>
          <w:rFonts w:ascii="仿宋_GB2312" w:hAnsi="仿宋" w:eastAsia="仿宋_GB2312" w:cs="仿宋_GB2312"/>
          <w:color w:val="000000" w:themeColor="text1"/>
          <w:sz w:val="24"/>
          <w:szCs w:val="21"/>
          <w:u w:val="single"/>
          <w14:textFill>
            <w14:solidFill>
              <w14:schemeClr w14:val="tx1"/>
            </w14:solidFill>
          </w14:textFill>
        </w:rPr>
        <w:br w:type="page"/>
      </w:r>
      <w:r>
        <w:rPr>
          <w:rFonts w:hint="eastAsia" w:ascii="仿宋_GB2312" w:hAnsi="仿宋" w:eastAsia="仿宋_GB2312" w:cs="仿宋_GB2312"/>
          <w:color w:val="000000" w:themeColor="text1"/>
          <w:szCs w:val="28"/>
          <w14:textFill>
            <w14:solidFill>
              <w14:schemeClr w14:val="tx1"/>
            </w14:solidFill>
          </w14:textFill>
        </w:rPr>
        <w:t>格式11</w:t>
      </w:r>
    </w:p>
    <w:p>
      <w:pPr>
        <w:spacing w:before="319" w:beforeLines="100" w:after="319" w:afterLines="100" w:line="360" w:lineRule="auto"/>
        <w:ind w:right="-21" w:rightChars="-10"/>
        <w:jc w:val="center"/>
        <w:rPr>
          <w:rFonts w:ascii="方正小标宋简体" w:hAnsi="仿宋" w:eastAsia="方正小标宋简体" w:cs="仿宋_GB2312"/>
          <w:color w:val="000000" w:themeColor="text1"/>
          <w:sz w:val="32"/>
          <w:szCs w:val="32"/>
          <w14:textFill>
            <w14:solidFill>
              <w14:schemeClr w14:val="tx1"/>
            </w14:solidFill>
          </w14:textFill>
        </w:rPr>
      </w:pPr>
      <w:bookmarkStart w:id="92" w:name="_Toc11267_WPSOffice_Level2"/>
      <w:bookmarkStart w:id="93" w:name="_Toc2673_WPSOffice_Level2"/>
      <w:r>
        <w:rPr>
          <w:rFonts w:hint="eastAsia" w:ascii="方正小标宋简体" w:hAnsi="仿宋" w:eastAsia="方正小标宋简体" w:cs="仿宋_GB2312"/>
          <w:color w:val="000000" w:themeColor="text1"/>
          <w:sz w:val="32"/>
          <w:szCs w:val="32"/>
          <w14:textFill>
            <w14:solidFill>
              <w14:schemeClr w14:val="tx1"/>
            </w14:solidFill>
          </w14:textFill>
        </w:rPr>
        <w:t>开标一览表</w:t>
      </w:r>
      <w:bookmarkEnd w:id="92"/>
      <w:bookmarkEnd w:id="93"/>
    </w:p>
    <w:p>
      <w:pPr>
        <w:adjustRightInd w:val="0"/>
        <w:snapToGrid w:val="0"/>
        <w:spacing w:line="360" w:lineRule="auto"/>
        <w:ind w:right="105" w:rightChars="50"/>
        <w:jc w:val="left"/>
        <w:rPr>
          <w:rFonts w:ascii="仿宋_GB2312" w:hAnsi="仿宋" w:eastAsia="仿宋_GB2312" w:cs="仿宋_GB2312"/>
          <w:b/>
          <w:bCs/>
          <w:color w:val="000000" w:themeColor="text1"/>
          <w:sz w:val="24"/>
          <w:szCs w:val="21"/>
          <w14:textFill>
            <w14:solidFill>
              <w14:schemeClr w14:val="tx1"/>
            </w14:solidFill>
          </w14:textFill>
        </w:rPr>
      </w:pPr>
      <w:r>
        <w:rPr>
          <w:rFonts w:hint="eastAsia" w:ascii="仿宋_GB2312" w:hAnsi="仿宋" w:eastAsia="仿宋_GB2312" w:cs="仿宋_GB2312"/>
          <w:b/>
          <w:bCs/>
          <w:color w:val="000000" w:themeColor="text1"/>
          <w:sz w:val="24"/>
          <w:szCs w:val="21"/>
          <w14:textFill>
            <w14:solidFill>
              <w14:schemeClr w14:val="tx1"/>
            </w14:solidFill>
          </w14:textFill>
        </w:rPr>
        <w:t>包号：                                                   报价单位：</w:t>
      </w:r>
      <w:r>
        <w:rPr>
          <w:rFonts w:hint="eastAsia" w:ascii="仿宋_GB2312" w:hAnsi="仿宋" w:eastAsia="仿宋_GB2312" w:cs="仿宋_GB2312"/>
          <w:b/>
          <w:color w:val="000000" w:themeColor="text1"/>
          <w:sz w:val="24"/>
          <w:szCs w:val="21"/>
          <w14:textFill>
            <w14:solidFill>
              <w14:schemeClr w14:val="tx1"/>
            </w14:solidFill>
          </w14:textFill>
        </w:rPr>
        <w:t>元</w:t>
      </w:r>
    </w:p>
    <w:tbl>
      <w:tblPr>
        <w:tblStyle w:val="20"/>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930"/>
        <w:gridCol w:w="1783"/>
        <w:gridCol w:w="1281"/>
        <w:gridCol w:w="126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562" w:type="dxa"/>
            <w:vAlign w:val="center"/>
          </w:tcPr>
          <w:p>
            <w:pPr>
              <w:adjustRightInd w:val="0"/>
              <w:snapToGrid w:val="0"/>
              <w:ind w:left="-54" w:leftChars="-26" w:right="-46" w:rightChars="-22"/>
              <w:jc w:val="center"/>
              <w:rPr>
                <w:rFonts w:ascii="仿宋_GB2312" w:hAnsi="仿宋" w:eastAsia="仿宋_GB2312" w:cs="仿宋_GB2312"/>
                <w:b/>
                <w:color w:val="000000" w:themeColor="text1"/>
                <w:sz w:val="24"/>
                <w:szCs w:val="21"/>
                <w14:textFill>
                  <w14:solidFill>
                    <w14:schemeClr w14:val="tx1"/>
                  </w14:solidFill>
                </w14:textFill>
              </w:rPr>
            </w:pPr>
            <w:r>
              <w:rPr>
                <w:rFonts w:hint="eastAsia" w:ascii="仿宋_GB2312" w:hAnsi="仿宋" w:eastAsia="仿宋_GB2312" w:cs="仿宋_GB2312"/>
                <w:b/>
                <w:color w:val="000000" w:themeColor="text1"/>
                <w:sz w:val="24"/>
                <w:szCs w:val="21"/>
                <w14:textFill>
                  <w14:solidFill>
                    <w14:schemeClr w14:val="tx1"/>
                  </w14:solidFill>
                </w14:textFill>
              </w:rPr>
              <w:t>包组名称</w:t>
            </w:r>
          </w:p>
        </w:tc>
        <w:tc>
          <w:tcPr>
            <w:tcW w:w="1930" w:type="dxa"/>
            <w:vAlign w:val="center"/>
          </w:tcPr>
          <w:p>
            <w:pPr>
              <w:adjustRightInd w:val="0"/>
              <w:snapToGrid w:val="0"/>
              <w:ind w:left="-54" w:leftChars="-26" w:right="-46" w:rightChars="-22"/>
              <w:jc w:val="center"/>
              <w:rPr>
                <w:rFonts w:ascii="仿宋_GB2312" w:hAnsi="仿宋" w:eastAsia="仿宋_GB2312" w:cs="仿宋_GB2312"/>
                <w:b/>
                <w:color w:val="000000" w:themeColor="text1"/>
                <w:sz w:val="24"/>
                <w:szCs w:val="21"/>
                <w14:textFill>
                  <w14:solidFill>
                    <w14:schemeClr w14:val="tx1"/>
                  </w14:solidFill>
                </w14:textFill>
              </w:rPr>
            </w:pPr>
            <w:r>
              <w:rPr>
                <w:rFonts w:hint="eastAsia" w:ascii="仿宋_GB2312" w:hAnsi="仿宋" w:eastAsia="仿宋_GB2312" w:cs="仿宋_GB2312"/>
                <w:b/>
                <w:color w:val="000000" w:themeColor="text1"/>
                <w:sz w:val="24"/>
                <w:szCs w:val="21"/>
                <w14:textFill>
                  <w14:solidFill>
                    <w14:schemeClr w14:val="tx1"/>
                  </w14:solidFill>
                </w14:textFill>
              </w:rPr>
              <w:t>投标总价</w:t>
            </w:r>
          </w:p>
          <w:p>
            <w:pPr>
              <w:adjustRightInd w:val="0"/>
              <w:snapToGrid w:val="0"/>
              <w:ind w:left="-54" w:leftChars="-26" w:right="-46" w:rightChars="-22"/>
              <w:jc w:val="center"/>
              <w:rPr>
                <w:rFonts w:ascii="仿宋_GB2312" w:hAnsi="仿宋" w:eastAsia="仿宋_GB2312" w:cs="仿宋_GB2312"/>
                <w:b/>
                <w:color w:val="000000" w:themeColor="text1"/>
                <w:sz w:val="24"/>
                <w:szCs w:val="21"/>
                <w14:textFill>
                  <w14:solidFill>
                    <w14:schemeClr w14:val="tx1"/>
                  </w14:solidFill>
                </w14:textFill>
              </w:rPr>
            </w:pPr>
            <w:r>
              <w:rPr>
                <w:rFonts w:hint="eastAsia" w:ascii="仿宋_GB2312" w:hAnsi="仿宋" w:eastAsia="仿宋_GB2312" w:cs="仿宋_GB2312"/>
                <w:b/>
                <w:color w:val="000000" w:themeColor="text1"/>
                <w:sz w:val="24"/>
                <w:szCs w:val="21"/>
                <w14:textFill>
                  <w14:solidFill>
                    <w14:schemeClr w14:val="tx1"/>
                  </w14:solidFill>
                </w14:textFill>
              </w:rPr>
              <w:t>（元）</w:t>
            </w:r>
          </w:p>
        </w:tc>
        <w:tc>
          <w:tcPr>
            <w:tcW w:w="1783" w:type="dxa"/>
            <w:vAlign w:val="center"/>
          </w:tcPr>
          <w:p>
            <w:pPr>
              <w:adjustRightInd w:val="0"/>
              <w:snapToGrid w:val="0"/>
              <w:ind w:left="-54" w:leftChars="-26" w:right="-46" w:rightChars="-22"/>
              <w:jc w:val="center"/>
              <w:rPr>
                <w:rFonts w:ascii="仿宋_GB2312" w:hAnsi="仿宋" w:eastAsia="仿宋_GB2312" w:cs="仿宋_GB2312"/>
                <w:b/>
                <w:color w:val="000000" w:themeColor="text1"/>
                <w:sz w:val="24"/>
                <w:szCs w:val="21"/>
                <w14:textFill>
                  <w14:solidFill>
                    <w14:schemeClr w14:val="tx1"/>
                  </w14:solidFill>
                </w14:textFill>
              </w:rPr>
            </w:pPr>
            <w:r>
              <w:rPr>
                <w:rFonts w:hint="eastAsia" w:ascii="仿宋_GB2312" w:hAnsi="仿宋" w:eastAsia="仿宋_GB2312" w:cs="仿宋_GB2312"/>
                <w:b/>
                <w:color w:val="000000" w:themeColor="text1"/>
                <w:sz w:val="24"/>
                <w:szCs w:val="21"/>
                <w14:textFill>
                  <w14:solidFill>
                    <w14:schemeClr w14:val="tx1"/>
                  </w14:solidFill>
                </w14:textFill>
              </w:rPr>
              <w:t>投标保证金（元）</w:t>
            </w:r>
          </w:p>
        </w:tc>
        <w:tc>
          <w:tcPr>
            <w:tcW w:w="1281" w:type="dxa"/>
            <w:vAlign w:val="center"/>
          </w:tcPr>
          <w:p>
            <w:pPr>
              <w:adjustRightInd w:val="0"/>
              <w:snapToGrid w:val="0"/>
              <w:ind w:right="-33" w:rightChars="-16"/>
              <w:jc w:val="center"/>
              <w:rPr>
                <w:rFonts w:ascii="仿宋_GB2312" w:hAnsi="仿宋" w:eastAsia="仿宋_GB2312" w:cs="仿宋_GB2312"/>
                <w:b/>
                <w:color w:val="000000" w:themeColor="text1"/>
                <w:sz w:val="24"/>
                <w:szCs w:val="21"/>
                <w14:textFill>
                  <w14:solidFill>
                    <w14:schemeClr w14:val="tx1"/>
                  </w14:solidFill>
                </w14:textFill>
              </w:rPr>
            </w:pPr>
            <w:r>
              <w:rPr>
                <w:rFonts w:hint="eastAsia" w:ascii="仿宋_GB2312" w:hAnsi="仿宋" w:eastAsia="仿宋_GB2312" w:cs="仿宋_GB2312"/>
                <w:b/>
                <w:color w:val="000000" w:themeColor="text1"/>
                <w:sz w:val="24"/>
                <w:szCs w:val="21"/>
                <w14:textFill>
                  <w14:solidFill>
                    <w14:schemeClr w14:val="tx1"/>
                  </w14:solidFill>
                </w14:textFill>
              </w:rPr>
              <w:t>履约期限</w:t>
            </w:r>
          </w:p>
        </w:tc>
        <w:tc>
          <w:tcPr>
            <w:tcW w:w="1262" w:type="dxa"/>
            <w:vAlign w:val="center"/>
          </w:tcPr>
          <w:p>
            <w:pPr>
              <w:adjustRightInd w:val="0"/>
              <w:snapToGrid w:val="0"/>
              <w:ind w:right="-42" w:rightChars="-20"/>
              <w:jc w:val="center"/>
              <w:rPr>
                <w:rFonts w:ascii="仿宋_GB2312" w:hAnsi="仿宋" w:eastAsia="仿宋_GB2312" w:cs="仿宋_GB2312"/>
                <w:b/>
                <w:color w:val="000000" w:themeColor="text1"/>
                <w:sz w:val="24"/>
                <w:szCs w:val="21"/>
                <w14:textFill>
                  <w14:solidFill>
                    <w14:schemeClr w14:val="tx1"/>
                  </w14:solidFill>
                </w14:textFill>
              </w:rPr>
            </w:pPr>
            <w:r>
              <w:rPr>
                <w:rFonts w:hint="eastAsia" w:ascii="仿宋_GB2312" w:hAnsi="仿宋" w:eastAsia="仿宋_GB2312" w:cs="仿宋_GB2312"/>
                <w:b/>
                <w:color w:val="000000" w:themeColor="text1"/>
                <w:sz w:val="24"/>
                <w:szCs w:val="21"/>
                <w14:textFill>
                  <w14:solidFill>
                    <w14:schemeClr w14:val="tx1"/>
                  </w14:solidFill>
                </w14:textFill>
              </w:rPr>
              <w:t>履约地点</w:t>
            </w:r>
          </w:p>
        </w:tc>
        <w:tc>
          <w:tcPr>
            <w:tcW w:w="959" w:type="dxa"/>
            <w:vAlign w:val="center"/>
          </w:tcPr>
          <w:p>
            <w:pPr>
              <w:adjustRightInd w:val="0"/>
              <w:snapToGrid w:val="0"/>
              <w:ind w:left="-54" w:leftChars="-26" w:right="-46" w:rightChars="-22"/>
              <w:jc w:val="center"/>
              <w:rPr>
                <w:rFonts w:ascii="仿宋_GB2312" w:hAnsi="仿宋" w:eastAsia="仿宋_GB2312" w:cs="仿宋_GB2312"/>
                <w:b/>
                <w:color w:val="000000" w:themeColor="text1"/>
                <w:sz w:val="24"/>
                <w:szCs w:val="21"/>
                <w14:textFill>
                  <w14:solidFill>
                    <w14:schemeClr w14:val="tx1"/>
                  </w14:solidFill>
                </w14:textFill>
              </w:rPr>
            </w:pPr>
            <w:r>
              <w:rPr>
                <w:rFonts w:hint="eastAsia" w:ascii="仿宋_GB2312" w:hAnsi="仿宋" w:eastAsia="仿宋_GB2312" w:cs="仿宋_GB2312"/>
                <w:b/>
                <w:color w:val="000000" w:themeColor="text1"/>
                <w:sz w:val="24"/>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1562" w:type="dxa"/>
            <w:vAlign w:val="center"/>
          </w:tcPr>
          <w:p>
            <w:pPr>
              <w:adjustRightInd w:val="0"/>
              <w:snapToGrid w:val="0"/>
              <w:ind w:left="-54" w:leftChars="-26" w:right="-46" w:rightChars="-22"/>
              <w:jc w:val="center"/>
              <w:rPr>
                <w:rFonts w:ascii="仿宋_GB2312" w:hAnsi="仿宋" w:eastAsia="仿宋_GB2312" w:cs="仿宋_GB2312"/>
                <w:color w:val="000000" w:themeColor="text1"/>
                <w:sz w:val="24"/>
                <w:szCs w:val="21"/>
                <w14:textFill>
                  <w14:solidFill>
                    <w14:schemeClr w14:val="tx1"/>
                  </w14:solidFill>
                </w14:textFill>
              </w:rPr>
            </w:pPr>
          </w:p>
        </w:tc>
        <w:tc>
          <w:tcPr>
            <w:tcW w:w="1930" w:type="dxa"/>
            <w:vAlign w:val="center"/>
          </w:tcPr>
          <w:p>
            <w:pPr>
              <w:adjustRightInd w:val="0"/>
              <w:snapToGrid w:val="0"/>
              <w:ind w:left="-54" w:leftChars="-26" w:right="-46" w:rightChars="-22"/>
              <w:jc w:val="left"/>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小写：</w:t>
            </w:r>
          </w:p>
          <w:p>
            <w:pPr>
              <w:adjustRightInd w:val="0"/>
              <w:snapToGrid w:val="0"/>
              <w:ind w:left="-54" w:leftChars="-26" w:right="-46" w:rightChars="-22"/>
              <w:jc w:val="left"/>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大写：</w:t>
            </w:r>
          </w:p>
        </w:tc>
        <w:tc>
          <w:tcPr>
            <w:tcW w:w="1783" w:type="dxa"/>
            <w:vAlign w:val="center"/>
          </w:tcPr>
          <w:p>
            <w:pPr>
              <w:adjustRightInd w:val="0"/>
              <w:snapToGrid w:val="0"/>
              <w:ind w:left="-54" w:leftChars="-26" w:right="-46" w:rightChars="-22"/>
              <w:jc w:val="center"/>
              <w:rPr>
                <w:rFonts w:ascii="仿宋_GB2312" w:hAnsi="仿宋" w:eastAsia="仿宋_GB2312" w:cs="仿宋_GB2312"/>
                <w:color w:val="000000" w:themeColor="text1"/>
                <w:sz w:val="24"/>
                <w:szCs w:val="21"/>
                <w14:textFill>
                  <w14:solidFill>
                    <w14:schemeClr w14:val="tx1"/>
                  </w14:solidFill>
                </w14:textFill>
              </w:rPr>
            </w:pPr>
          </w:p>
        </w:tc>
        <w:tc>
          <w:tcPr>
            <w:tcW w:w="1281" w:type="dxa"/>
            <w:vAlign w:val="center"/>
          </w:tcPr>
          <w:p>
            <w:pPr>
              <w:adjustRightInd w:val="0"/>
              <w:snapToGrid w:val="0"/>
              <w:ind w:left="-54" w:leftChars="-26" w:right="-46" w:rightChars="-22"/>
              <w:jc w:val="center"/>
              <w:rPr>
                <w:rFonts w:ascii="仿宋_GB2312" w:hAnsi="仿宋" w:eastAsia="仿宋_GB2312" w:cs="仿宋_GB2312"/>
                <w:color w:val="000000" w:themeColor="text1"/>
                <w:sz w:val="24"/>
                <w:szCs w:val="21"/>
                <w14:textFill>
                  <w14:solidFill>
                    <w14:schemeClr w14:val="tx1"/>
                  </w14:solidFill>
                </w14:textFill>
              </w:rPr>
            </w:pPr>
          </w:p>
        </w:tc>
        <w:tc>
          <w:tcPr>
            <w:tcW w:w="1262" w:type="dxa"/>
            <w:vAlign w:val="center"/>
          </w:tcPr>
          <w:p>
            <w:pPr>
              <w:adjustRightInd w:val="0"/>
              <w:snapToGrid w:val="0"/>
              <w:ind w:left="-54" w:leftChars="-26" w:right="-46" w:rightChars="-22"/>
              <w:jc w:val="center"/>
              <w:rPr>
                <w:rFonts w:ascii="仿宋_GB2312" w:hAnsi="仿宋" w:eastAsia="仿宋_GB2312" w:cs="仿宋_GB2312"/>
                <w:color w:val="000000" w:themeColor="text1"/>
                <w:sz w:val="24"/>
                <w:szCs w:val="21"/>
                <w14:textFill>
                  <w14:solidFill>
                    <w14:schemeClr w14:val="tx1"/>
                  </w14:solidFill>
                </w14:textFill>
              </w:rPr>
            </w:pPr>
          </w:p>
        </w:tc>
        <w:tc>
          <w:tcPr>
            <w:tcW w:w="959" w:type="dxa"/>
            <w:vAlign w:val="center"/>
          </w:tcPr>
          <w:p>
            <w:pPr>
              <w:adjustRightInd w:val="0"/>
              <w:snapToGrid w:val="0"/>
              <w:ind w:left="-54" w:leftChars="-26" w:right="-46" w:rightChars="-22"/>
              <w:jc w:val="center"/>
              <w:rPr>
                <w:rFonts w:ascii="仿宋_GB2312" w:hAnsi="仿宋" w:eastAsia="仿宋_GB2312" w:cs="仿宋_GB2312"/>
                <w:color w:val="000000" w:themeColor="text1"/>
                <w:sz w:val="24"/>
                <w:szCs w:val="21"/>
                <w14:textFill>
                  <w14:solidFill>
                    <w14:schemeClr w14:val="tx1"/>
                  </w14:solidFill>
                </w14:textFill>
              </w:rPr>
            </w:pPr>
          </w:p>
        </w:tc>
      </w:tr>
    </w:tbl>
    <w:p>
      <w:pPr>
        <w:adjustRightInd w:val="0"/>
        <w:snapToGrid w:val="0"/>
        <w:spacing w:line="360" w:lineRule="auto"/>
        <w:ind w:right="105" w:rightChars="50" w:firstLine="480" w:firstLineChars="200"/>
        <w:jc w:val="left"/>
        <w:rPr>
          <w:rFonts w:ascii="仿宋_GB2312" w:hAnsi="仿宋" w:eastAsia="仿宋_GB2312" w:cs="仿宋_GB2312"/>
          <w:color w:val="000000" w:themeColor="text1"/>
          <w:sz w:val="24"/>
          <w:szCs w:val="21"/>
          <w14:textFill>
            <w14:solidFill>
              <w14:schemeClr w14:val="tx1"/>
            </w14:solidFill>
          </w14:textFill>
        </w:rPr>
      </w:pPr>
    </w:p>
    <w:p>
      <w:pPr>
        <w:adjustRightInd w:val="0"/>
        <w:snapToGrid w:val="0"/>
        <w:spacing w:line="360" w:lineRule="auto"/>
        <w:ind w:right="105" w:rightChars="50" w:firstLine="480" w:firstLineChars="200"/>
        <w:jc w:val="left"/>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注：此表中，投标总价应和分项报价表的总价相一致。</w:t>
      </w:r>
    </w:p>
    <w:p>
      <w:pPr>
        <w:adjustRightInd w:val="0"/>
        <w:snapToGrid w:val="0"/>
        <w:spacing w:line="360" w:lineRule="auto"/>
        <w:ind w:right="105" w:rightChars="50"/>
        <w:jc w:val="left"/>
        <w:rPr>
          <w:rFonts w:ascii="仿宋_GB2312" w:hAnsi="仿宋" w:eastAsia="仿宋_GB2312" w:cs="仿宋_GB2312"/>
          <w:color w:val="000000" w:themeColor="text1"/>
          <w:sz w:val="24"/>
          <w:szCs w:val="21"/>
          <w14:textFill>
            <w14:solidFill>
              <w14:schemeClr w14:val="tx1"/>
            </w14:solidFill>
          </w14:textFill>
        </w:rPr>
      </w:pPr>
    </w:p>
    <w:p>
      <w:pPr>
        <w:adjustRightInd w:val="0"/>
        <w:snapToGrid w:val="0"/>
        <w:spacing w:line="360" w:lineRule="auto"/>
        <w:ind w:right="105" w:rightChars="50"/>
        <w:jc w:val="left"/>
        <w:rPr>
          <w:rFonts w:ascii="仿宋_GB2312" w:hAnsi="仿宋" w:eastAsia="仿宋_GB2312" w:cs="仿宋_GB2312"/>
          <w:color w:val="000000" w:themeColor="text1"/>
          <w:sz w:val="24"/>
          <w:szCs w:val="21"/>
          <w14:textFill>
            <w14:solidFill>
              <w14:schemeClr w14:val="tx1"/>
            </w14:solidFill>
          </w14:textFill>
        </w:rPr>
      </w:pPr>
    </w:p>
    <w:p>
      <w:pPr>
        <w:adjustRightInd w:val="0"/>
        <w:snapToGrid w:val="0"/>
        <w:spacing w:line="360" w:lineRule="auto"/>
        <w:ind w:right="105" w:rightChars="50"/>
        <w:jc w:val="left"/>
        <w:rPr>
          <w:rFonts w:ascii="仿宋_GB2312" w:hAnsi="仿宋" w:eastAsia="仿宋_GB2312" w:cs="仿宋_GB2312"/>
          <w:color w:val="000000" w:themeColor="text1"/>
          <w:sz w:val="24"/>
          <w:szCs w:val="21"/>
          <w14:textFill>
            <w14:solidFill>
              <w14:schemeClr w14:val="tx1"/>
            </w14:solidFill>
          </w14:textFill>
        </w:rPr>
      </w:pPr>
    </w:p>
    <w:p>
      <w:pPr>
        <w:adjustRightInd w:val="0"/>
        <w:snapToGrid w:val="0"/>
        <w:spacing w:line="360" w:lineRule="auto"/>
        <w:ind w:right="105" w:rightChars="50"/>
        <w:jc w:val="left"/>
        <w:rPr>
          <w:rFonts w:ascii="仿宋_GB2312" w:hAnsi="仿宋" w:eastAsia="仿宋_GB2312" w:cs="仿宋_GB2312"/>
          <w:color w:val="000000" w:themeColor="text1"/>
          <w:sz w:val="24"/>
          <w:szCs w:val="21"/>
          <w14:textFill>
            <w14:solidFill>
              <w14:schemeClr w14:val="tx1"/>
            </w14:solidFill>
          </w14:textFill>
        </w:rPr>
      </w:pPr>
    </w:p>
    <w:p>
      <w:pPr>
        <w:adjustRightInd w:val="0"/>
        <w:snapToGrid w:val="0"/>
        <w:spacing w:line="360" w:lineRule="auto"/>
        <w:ind w:right="105" w:rightChars="50"/>
        <w:jc w:val="left"/>
        <w:rPr>
          <w:rFonts w:ascii="仿宋_GB2312" w:hAnsi="仿宋" w:eastAsia="仿宋_GB2312" w:cs="仿宋_GB2312"/>
          <w:color w:val="000000" w:themeColor="text1"/>
          <w:sz w:val="24"/>
          <w:szCs w:val="21"/>
          <w14:textFill>
            <w14:solidFill>
              <w14:schemeClr w14:val="tx1"/>
            </w14:solidFill>
          </w14:textFill>
        </w:rPr>
      </w:pPr>
    </w:p>
    <w:p>
      <w:pPr>
        <w:adjustRightInd w:val="0"/>
        <w:snapToGrid w:val="0"/>
        <w:spacing w:line="480" w:lineRule="auto"/>
        <w:rPr>
          <w:rFonts w:ascii="仿宋_GB2312" w:hAnsi="仿宋" w:eastAsia="仿宋_GB2312" w:cs="仿宋_GB2312"/>
          <w:color w:val="000000" w:themeColor="text1"/>
          <w:sz w:val="24"/>
          <w14:textFill>
            <w14:solidFill>
              <w14:schemeClr w14:val="tx1"/>
            </w14:solidFill>
          </w14:textFill>
        </w:rPr>
      </w:pPr>
    </w:p>
    <w:p>
      <w:pPr>
        <w:adjustRightInd w:val="0"/>
        <w:snapToGrid w:val="0"/>
        <w:spacing w:line="48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投标人名称（加盖单位公章）：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adjustRightInd w:val="0"/>
        <w:snapToGrid w:val="0"/>
        <w:spacing w:line="48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法定代表人（或</w:t>
      </w:r>
      <w:r>
        <w:rPr>
          <w:rFonts w:hint="eastAsia" w:ascii="仿宋_GB2312" w:hAnsi="仿宋" w:eastAsia="仿宋_GB2312" w:cs="仿宋_GB2312"/>
          <w:color w:val="000000" w:themeColor="text1"/>
          <w:sz w:val="24"/>
          <w:szCs w:val="21"/>
          <w14:textFill>
            <w14:solidFill>
              <w14:schemeClr w14:val="tx1"/>
            </w14:solidFill>
          </w14:textFill>
        </w:rPr>
        <w:t>非法人组织负责人）或</w:t>
      </w:r>
      <w:r>
        <w:rPr>
          <w:rFonts w:hint="eastAsia" w:ascii="仿宋_GB2312" w:hAnsi="仿宋" w:eastAsia="仿宋_GB2312" w:cs="仿宋_GB2312"/>
          <w:color w:val="000000" w:themeColor="text1"/>
          <w:sz w:val="24"/>
          <w14:textFill>
            <w14:solidFill>
              <w14:schemeClr w14:val="tx1"/>
            </w14:solidFill>
          </w14:textFill>
        </w:rPr>
        <w:t>其</w:t>
      </w:r>
      <w:r>
        <w:rPr>
          <w:rFonts w:hint="eastAsia" w:ascii="仿宋_GB2312" w:hAnsi="仿宋" w:eastAsia="仿宋_GB2312" w:cs="仿宋_GB2312"/>
          <w:color w:val="000000" w:themeColor="text1"/>
          <w:sz w:val="24"/>
          <w:szCs w:val="21"/>
          <w14:textFill>
            <w14:solidFill>
              <w14:schemeClr w14:val="tx1"/>
            </w14:solidFill>
          </w14:textFill>
        </w:rPr>
        <w:t>授权委托人</w:t>
      </w:r>
      <w:r>
        <w:rPr>
          <w:rFonts w:hint="eastAsia" w:ascii="仿宋_GB2312" w:hAnsi="仿宋" w:eastAsia="仿宋_GB2312" w:cs="仿宋_GB2312"/>
          <w:color w:val="000000" w:themeColor="text1"/>
          <w:sz w:val="24"/>
          <w14:textFill>
            <w14:solidFill>
              <w14:schemeClr w14:val="tx1"/>
            </w14:solidFill>
          </w14:textFill>
        </w:rPr>
        <w:t>(签字或盖章)：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adjustRightInd w:val="0"/>
        <w:snapToGrid w:val="0"/>
        <w:spacing w:line="480" w:lineRule="auto"/>
        <w:ind w:right="1050" w:rightChars="500"/>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xml:space="preserve">日 </w:t>
      </w:r>
      <w:r>
        <w:rPr>
          <w:rFonts w:ascii="仿宋_GB2312" w:hAnsi="仿宋" w:eastAsia="仿宋_GB2312" w:cs="仿宋_GB2312"/>
          <w:color w:val="000000" w:themeColor="text1"/>
          <w:sz w:val="24"/>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期：</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 xml:space="preserve"> </w:t>
      </w:r>
    </w:p>
    <w:p>
      <w:pPr>
        <w:adjustRightInd w:val="0"/>
        <w:snapToGrid w:val="0"/>
        <w:spacing w:line="480" w:lineRule="auto"/>
        <w:ind w:right="1050" w:rightChars="500"/>
        <w:rPr>
          <w:rFonts w:ascii="仿宋_GB2312" w:hAnsi="仿宋" w:eastAsia="仿宋_GB2312" w:cs="仿宋_GB2312"/>
          <w:color w:val="000000" w:themeColor="text1"/>
          <w:szCs w:val="21"/>
          <w14:textFill>
            <w14:solidFill>
              <w14:schemeClr w14:val="tx1"/>
            </w14:solidFill>
          </w14:textFill>
        </w:rPr>
      </w:pPr>
    </w:p>
    <w:p>
      <w:pPr>
        <w:pStyle w:val="3"/>
        <w:adjustRightInd w:val="0"/>
        <w:snapToGrid w:val="0"/>
        <w:spacing w:before="0" w:after="0" w:line="240" w:lineRule="auto"/>
        <w:jc w:val="left"/>
        <w:rPr>
          <w:rFonts w:ascii="仿宋_GB2312" w:hAnsi="仿宋" w:eastAsia="仿宋_GB2312" w:cs="仿宋_GB2312"/>
          <w:color w:val="000000" w:themeColor="text1"/>
          <w:szCs w:val="28"/>
          <w14:textFill>
            <w14:solidFill>
              <w14:schemeClr w14:val="tx1"/>
            </w14:solidFill>
          </w14:textFill>
        </w:rPr>
      </w:pPr>
      <w:r>
        <w:rPr>
          <w:rFonts w:hint="eastAsia" w:ascii="仿宋_GB2312" w:hAnsi="仿宋" w:eastAsia="仿宋_GB2312" w:cs="仿宋_GB2312"/>
          <w:color w:val="000000" w:themeColor="text1"/>
          <w:szCs w:val="21"/>
          <w14:textFill>
            <w14:solidFill>
              <w14:schemeClr w14:val="tx1"/>
            </w14:solidFill>
          </w14:textFill>
        </w:rPr>
        <w:br w:type="page"/>
      </w:r>
      <w:r>
        <w:rPr>
          <w:rFonts w:hint="eastAsia" w:ascii="仿宋_GB2312" w:hAnsi="仿宋" w:eastAsia="仿宋_GB2312" w:cs="仿宋_GB2312"/>
          <w:color w:val="000000" w:themeColor="text1"/>
          <w:szCs w:val="28"/>
          <w14:textFill>
            <w14:solidFill>
              <w14:schemeClr w14:val="tx1"/>
            </w14:solidFill>
          </w14:textFill>
        </w:rPr>
        <w:t>格式12</w:t>
      </w:r>
    </w:p>
    <w:p>
      <w:pPr>
        <w:spacing w:before="319" w:beforeLines="100" w:after="319" w:afterLines="100" w:line="360" w:lineRule="auto"/>
        <w:ind w:right="-21" w:rightChars="-10"/>
        <w:jc w:val="center"/>
        <w:rPr>
          <w:rFonts w:ascii="方正小标宋简体" w:hAnsi="仿宋" w:eastAsia="方正小标宋简体" w:cs="仿宋_GB2312"/>
          <w:color w:val="000000" w:themeColor="text1"/>
          <w:sz w:val="32"/>
          <w:szCs w:val="32"/>
          <w14:textFill>
            <w14:solidFill>
              <w14:schemeClr w14:val="tx1"/>
            </w14:solidFill>
          </w14:textFill>
        </w:rPr>
      </w:pPr>
      <w:r>
        <w:rPr>
          <w:rFonts w:hint="eastAsia" w:ascii="方正小标宋简体" w:hAnsi="仿宋" w:eastAsia="方正小标宋简体" w:cs="仿宋_GB2312"/>
          <w:color w:val="000000" w:themeColor="text1"/>
          <w:sz w:val="32"/>
          <w:szCs w:val="32"/>
          <w14:textFill>
            <w14:solidFill>
              <w14:schemeClr w14:val="tx1"/>
            </w14:solidFill>
          </w14:textFill>
        </w:rPr>
        <w:t>服务价格明细表</w:t>
      </w:r>
    </w:p>
    <w:p>
      <w:pPr>
        <w:adjustRightInd w:val="0"/>
        <w:snapToGrid w:val="0"/>
        <w:spacing w:line="360" w:lineRule="auto"/>
        <w:ind w:right="105" w:rightChars="50"/>
        <w:jc w:val="left"/>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包号：                                                   报价单位：</w:t>
      </w:r>
      <w:r>
        <w:rPr>
          <w:rFonts w:hint="eastAsia" w:ascii="仿宋_GB2312" w:hAnsi="仿宋" w:eastAsia="仿宋_GB2312" w:cs="仿宋_GB2312"/>
          <w:b/>
          <w:color w:val="000000" w:themeColor="text1"/>
          <w:sz w:val="24"/>
          <w:szCs w:val="21"/>
          <w14:textFill>
            <w14:solidFill>
              <w14:schemeClr w14:val="tx1"/>
            </w14:solidFill>
          </w14:textFill>
        </w:rPr>
        <w:t>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3956"/>
        <w:gridCol w:w="2268"/>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61" w:type="dxa"/>
            <w:vAlign w:val="center"/>
          </w:tcPr>
          <w:p>
            <w:pPr>
              <w:adjustRightInd w:val="0"/>
              <w:snapToGrid w:val="0"/>
              <w:ind w:left="-65" w:leftChars="-31" w:right="-46" w:rightChars="-22"/>
              <w:jc w:val="center"/>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序号</w:t>
            </w:r>
          </w:p>
        </w:tc>
        <w:tc>
          <w:tcPr>
            <w:tcW w:w="3956" w:type="dxa"/>
            <w:vAlign w:val="center"/>
          </w:tcPr>
          <w:p>
            <w:pPr>
              <w:adjustRightInd w:val="0"/>
              <w:snapToGrid w:val="0"/>
              <w:ind w:left="-65" w:leftChars="-31" w:right="-46" w:rightChars="-22"/>
              <w:jc w:val="center"/>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服务名称</w:t>
            </w:r>
          </w:p>
        </w:tc>
        <w:tc>
          <w:tcPr>
            <w:tcW w:w="2268" w:type="dxa"/>
            <w:vAlign w:val="center"/>
          </w:tcPr>
          <w:p>
            <w:pPr>
              <w:adjustRightInd w:val="0"/>
              <w:snapToGrid w:val="0"/>
              <w:ind w:left="-65" w:leftChars="-31" w:right="-46" w:rightChars="-22"/>
              <w:jc w:val="center"/>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投标报价</w:t>
            </w:r>
            <w:r>
              <w:rPr>
                <w:rFonts w:hint="eastAsia" w:ascii="仿宋_GB2312" w:hAnsi="仿宋" w:eastAsia="仿宋_GB2312" w:cs="仿宋_GB2312"/>
                <w:b/>
                <w:bCs/>
                <w:color w:val="000000" w:themeColor="text1"/>
                <w:sz w:val="24"/>
                <w:szCs w:val="21"/>
                <w14:textFill>
                  <w14:solidFill>
                    <w14:schemeClr w14:val="tx1"/>
                  </w14:solidFill>
                </w14:textFill>
              </w:rPr>
              <w:t>（元）</w:t>
            </w:r>
          </w:p>
        </w:tc>
        <w:tc>
          <w:tcPr>
            <w:tcW w:w="1124" w:type="dxa"/>
            <w:vAlign w:val="center"/>
          </w:tcPr>
          <w:p>
            <w:pPr>
              <w:adjustRightInd w:val="0"/>
              <w:snapToGrid w:val="0"/>
              <w:ind w:left="-65" w:leftChars="-31" w:right="-46" w:rightChars="-22"/>
              <w:jc w:val="center"/>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61"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w:t>
            </w:r>
          </w:p>
        </w:tc>
        <w:tc>
          <w:tcPr>
            <w:tcW w:w="3956"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p>
        </w:tc>
        <w:tc>
          <w:tcPr>
            <w:tcW w:w="2268"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p>
        </w:tc>
        <w:tc>
          <w:tcPr>
            <w:tcW w:w="1124"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61"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w:t>
            </w:r>
          </w:p>
        </w:tc>
        <w:tc>
          <w:tcPr>
            <w:tcW w:w="3956"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p>
        </w:tc>
        <w:tc>
          <w:tcPr>
            <w:tcW w:w="2268"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p>
        </w:tc>
        <w:tc>
          <w:tcPr>
            <w:tcW w:w="1124"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61"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w:t>
            </w:r>
          </w:p>
        </w:tc>
        <w:tc>
          <w:tcPr>
            <w:tcW w:w="3956" w:type="dxa"/>
          </w:tcPr>
          <w:p>
            <w:pPr>
              <w:widowControl/>
              <w:jc w:val="center"/>
              <w:textAlignment w:val="center"/>
              <w:rPr>
                <w:rFonts w:ascii="仿宋_GB2312" w:hAnsi="宋体" w:eastAsia="仿宋_GB2312" w:cs="宋体"/>
                <w:b/>
                <w:bCs/>
                <w:color w:val="000000" w:themeColor="text1"/>
                <w:sz w:val="24"/>
                <w14:textFill>
                  <w14:solidFill>
                    <w14:schemeClr w14:val="tx1"/>
                  </w14:solidFill>
                </w14:textFill>
              </w:rPr>
            </w:pPr>
          </w:p>
        </w:tc>
        <w:tc>
          <w:tcPr>
            <w:tcW w:w="2268"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p>
        </w:tc>
        <w:tc>
          <w:tcPr>
            <w:tcW w:w="1124"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61"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w:t>
            </w:r>
          </w:p>
        </w:tc>
        <w:tc>
          <w:tcPr>
            <w:tcW w:w="3956"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w:t>
            </w:r>
          </w:p>
        </w:tc>
        <w:tc>
          <w:tcPr>
            <w:tcW w:w="2268"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p>
        </w:tc>
        <w:tc>
          <w:tcPr>
            <w:tcW w:w="1124"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409" w:type="dxa"/>
            <w:gridSpan w:val="4"/>
            <w:vAlign w:val="center"/>
          </w:tcPr>
          <w:p>
            <w:pPr>
              <w:adjustRightInd w:val="0"/>
              <w:snapToGrid w:val="0"/>
              <w:ind w:right="105" w:rightChars="5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总价</w:t>
            </w:r>
            <w:r>
              <w:rPr>
                <w:rFonts w:hint="eastAsia" w:ascii="仿宋_GB2312" w:hAnsi="仿宋" w:eastAsia="仿宋_GB2312" w:cs="仿宋_GB2312"/>
                <w:color w:val="000000" w:themeColor="text1"/>
                <w:sz w:val="24"/>
                <w:szCs w:val="21"/>
                <w14:textFill>
                  <w14:solidFill>
                    <w14:schemeClr w14:val="tx1"/>
                  </w14:solidFill>
                </w14:textFill>
              </w:rPr>
              <w:t>（元）：</w:t>
            </w:r>
          </w:p>
        </w:tc>
      </w:tr>
    </w:tbl>
    <w:p>
      <w:pPr>
        <w:adjustRightInd w:val="0"/>
        <w:snapToGrid w:val="0"/>
        <w:spacing w:before="319" w:beforeLines="100" w:line="360" w:lineRule="auto"/>
        <w:ind w:right="105" w:rightChars="50"/>
        <w:jc w:val="left"/>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注：1.</w:t>
      </w:r>
      <w:r>
        <w:rPr>
          <w:rFonts w:hint="eastAsia" w:ascii="仿宋_GB2312" w:hAnsi="仿宋" w:eastAsia="仿宋_GB2312" w:cs="仿宋_GB2312"/>
          <w:color w:val="000000" w:themeColor="text1"/>
          <w:sz w:val="24"/>
          <w:szCs w:val="21"/>
          <w14:textFill>
            <w14:solidFill>
              <w14:schemeClr w14:val="tx1"/>
            </w14:solidFill>
          </w14:textFill>
        </w:rPr>
        <w:t>此表中，总价应和开标一览表的投标总价相一致。</w:t>
      </w:r>
    </w:p>
    <w:p>
      <w:pPr>
        <w:adjustRightInd w:val="0"/>
        <w:snapToGrid w:val="0"/>
        <w:spacing w:line="360" w:lineRule="auto"/>
        <w:ind w:right="105" w:rightChars="50"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2.本表可根据实际情况进行拓展。</w:t>
      </w:r>
    </w:p>
    <w:p>
      <w:pPr>
        <w:adjustRightInd w:val="0"/>
        <w:snapToGrid w:val="0"/>
        <w:spacing w:line="360" w:lineRule="auto"/>
        <w:ind w:right="105" w:rightChars="50"/>
        <w:jc w:val="left"/>
        <w:rPr>
          <w:rFonts w:ascii="仿宋_GB2312" w:hAnsi="仿宋" w:eastAsia="仿宋_GB2312" w:cs="仿宋_GB2312"/>
          <w:color w:val="000000" w:themeColor="text1"/>
          <w:sz w:val="24"/>
          <w14:textFill>
            <w14:solidFill>
              <w14:schemeClr w14:val="tx1"/>
            </w14:solidFill>
          </w14:textFill>
        </w:rPr>
      </w:pPr>
    </w:p>
    <w:p>
      <w:pPr>
        <w:adjustRightInd w:val="0"/>
        <w:snapToGrid w:val="0"/>
        <w:spacing w:line="360" w:lineRule="auto"/>
        <w:ind w:right="105" w:rightChars="50"/>
        <w:jc w:val="left"/>
        <w:rPr>
          <w:rFonts w:ascii="仿宋_GB2312" w:hAnsi="仿宋" w:eastAsia="仿宋_GB2312" w:cs="仿宋_GB2312"/>
          <w:color w:val="000000" w:themeColor="text1"/>
          <w:sz w:val="24"/>
          <w14:textFill>
            <w14:solidFill>
              <w14:schemeClr w14:val="tx1"/>
            </w14:solidFill>
          </w14:textFill>
        </w:rPr>
      </w:pPr>
    </w:p>
    <w:p>
      <w:pPr>
        <w:adjustRightInd w:val="0"/>
        <w:snapToGrid w:val="0"/>
        <w:spacing w:line="360" w:lineRule="auto"/>
        <w:ind w:right="105" w:rightChars="50"/>
        <w:jc w:val="left"/>
        <w:rPr>
          <w:rFonts w:ascii="仿宋_GB2312" w:hAnsi="仿宋" w:eastAsia="仿宋_GB2312" w:cs="仿宋_GB2312"/>
          <w:color w:val="000000" w:themeColor="text1"/>
          <w:sz w:val="24"/>
          <w14:textFill>
            <w14:solidFill>
              <w14:schemeClr w14:val="tx1"/>
            </w14:solidFill>
          </w14:textFill>
        </w:rPr>
      </w:pPr>
    </w:p>
    <w:p>
      <w:pPr>
        <w:pStyle w:val="6"/>
        <w:rPr>
          <w:color w:val="000000" w:themeColor="text1"/>
          <w14:textFill>
            <w14:solidFill>
              <w14:schemeClr w14:val="tx1"/>
            </w14:solidFill>
          </w14:textFill>
        </w:rPr>
      </w:pPr>
    </w:p>
    <w:p>
      <w:pPr>
        <w:adjustRightInd w:val="0"/>
        <w:snapToGrid w:val="0"/>
        <w:spacing w:line="48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投标人名称（加盖单位公章）：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adjustRightInd w:val="0"/>
        <w:snapToGrid w:val="0"/>
        <w:spacing w:line="48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法定代表人（或非法人组织负责人）或其授权委托人(签字或盖章)：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adjustRightInd w:val="0"/>
        <w:snapToGrid w:val="0"/>
        <w:spacing w:line="360" w:lineRule="auto"/>
        <w:ind w:right="1050" w:rightChars="5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xml:space="preserve">日 </w:t>
      </w:r>
      <w:r>
        <w:rPr>
          <w:rFonts w:ascii="仿宋_GB2312" w:hAnsi="仿宋" w:eastAsia="仿宋_GB2312" w:cs="仿宋_GB2312"/>
          <w:color w:val="000000" w:themeColor="text1"/>
          <w:sz w:val="24"/>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期：</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 xml:space="preserve"> </w:t>
      </w:r>
    </w:p>
    <w:p>
      <w:pPr>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3"/>
        <w:adjustRightInd w:val="0"/>
        <w:snapToGrid w:val="0"/>
        <w:spacing w:before="0" w:after="0" w:line="240" w:lineRule="auto"/>
        <w:jc w:val="left"/>
        <w:rPr>
          <w:rFonts w:ascii="仿宋_GB2312" w:hAnsi="仿宋" w:eastAsia="仿宋_GB2312" w:cs="仿宋_GB2312"/>
          <w:color w:val="000000" w:themeColor="text1"/>
          <w:szCs w:val="28"/>
          <w14:textFill>
            <w14:solidFill>
              <w14:schemeClr w14:val="tx1"/>
            </w14:solidFill>
          </w14:textFill>
        </w:rPr>
      </w:pPr>
      <w:r>
        <w:rPr>
          <w:rFonts w:ascii="仿宋_GB2312" w:hAnsi="仿宋" w:eastAsia="仿宋_GB2312" w:cs="仿宋_GB2312"/>
          <w:color w:val="000000" w:themeColor="text1"/>
          <w:szCs w:val="28"/>
          <w14:textFill>
            <w14:solidFill>
              <w14:schemeClr w14:val="tx1"/>
            </w14:solidFill>
          </w14:textFill>
        </w:rPr>
        <w:br w:type="page"/>
      </w:r>
      <w:r>
        <w:rPr>
          <w:rFonts w:hint="eastAsia" w:ascii="仿宋_GB2312" w:hAnsi="仿宋" w:eastAsia="仿宋_GB2312" w:cs="仿宋_GB2312"/>
          <w:color w:val="000000" w:themeColor="text1"/>
          <w:szCs w:val="28"/>
          <w14:textFill>
            <w14:solidFill>
              <w14:schemeClr w14:val="tx1"/>
            </w14:solidFill>
          </w14:textFill>
        </w:rPr>
        <w:t>格式13</w:t>
      </w:r>
    </w:p>
    <w:p>
      <w:pPr>
        <w:spacing w:before="319" w:beforeLines="100" w:after="319" w:afterLines="100" w:line="360" w:lineRule="auto"/>
        <w:ind w:right="-21" w:rightChars="-10"/>
        <w:jc w:val="center"/>
        <w:rPr>
          <w:rFonts w:ascii="方正小标宋简体" w:hAnsi="仿宋" w:eastAsia="方正小标宋简体" w:cs="仿宋_GB2312"/>
          <w:color w:val="000000" w:themeColor="text1"/>
          <w:sz w:val="32"/>
          <w:szCs w:val="32"/>
          <w14:textFill>
            <w14:solidFill>
              <w14:schemeClr w14:val="tx1"/>
            </w14:solidFill>
          </w14:textFill>
        </w:rPr>
      </w:pPr>
      <w:bookmarkStart w:id="94" w:name="_Toc9235_WPSOffice_Level2"/>
      <w:bookmarkStart w:id="95" w:name="_Toc31555_WPSOffice_Level2"/>
      <w:r>
        <w:rPr>
          <w:rFonts w:hint="eastAsia" w:ascii="方正小标宋简体" w:hAnsi="仿宋" w:eastAsia="方正小标宋简体" w:cs="仿宋_GB2312"/>
          <w:color w:val="000000" w:themeColor="text1"/>
          <w:sz w:val="32"/>
          <w:szCs w:val="32"/>
          <w14:textFill>
            <w14:solidFill>
              <w14:schemeClr w14:val="tx1"/>
            </w14:solidFill>
          </w14:textFill>
        </w:rPr>
        <w:t>服务需求响应表</w:t>
      </w:r>
      <w:bookmarkEnd w:id="94"/>
      <w:bookmarkEnd w:id="95"/>
    </w:p>
    <w:tbl>
      <w:tblPr>
        <w:tblStyle w:val="2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3302"/>
        <w:gridCol w:w="851"/>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89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right="105" w:rightChars="5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包号/序号：</w:t>
            </w:r>
          </w:p>
          <w:p>
            <w:pPr>
              <w:tabs>
                <w:tab w:val="left" w:pos="0"/>
              </w:tabs>
              <w:adjustRightInd w:val="0"/>
              <w:snapToGrid w:val="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304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招标文件要求</w:t>
            </w:r>
          </w:p>
          <w:p>
            <w:pPr>
              <w:ind w:hanging="1"/>
              <w:rPr>
                <w:rFonts w:ascii="仿宋_GB2312" w:hAnsi="仿宋" w:eastAsia="仿宋_GB2312" w:cs="仿宋_GB2312"/>
                <w:b/>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重要提示：实质性要求及重要指标用★标注（“★”必须标注在序号前），★标注项不得负偏离，如果负偏离，则投标文件无效。</w:t>
            </w:r>
          </w:p>
        </w:tc>
        <w:tc>
          <w:tcPr>
            <w:tcW w:w="330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投标文件</w:t>
            </w:r>
          </w:p>
          <w:p>
            <w:pPr>
              <w:tabs>
                <w:tab w:val="left" w:pos="0"/>
              </w:tabs>
              <w:spacing w:line="240" w:lineRule="exact"/>
              <w:jc w:val="center"/>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响应内容</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偏离</w:t>
            </w:r>
          </w:p>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程度</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偏离</w:t>
            </w:r>
          </w:p>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说明</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证明</w:t>
            </w:r>
          </w:p>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3043"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按服务需求填写</w:t>
            </w:r>
          </w:p>
        </w:tc>
        <w:tc>
          <w:tcPr>
            <w:tcW w:w="3302"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 w:eastAsia="仿宋_GB2312" w:cs="仿宋_GB2312"/>
                <w:color w:val="000000" w:themeColor="text1"/>
                <w:kern w:val="0"/>
                <w:sz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 w:eastAsia="仿宋_GB2312" w:cs="仿宋_GB2312"/>
                <w:color w:val="000000" w:themeColor="text1"/>
                <w:kern w:val="0"/>
                <w:sz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 w:eastAsia="仿宋_GB2312" w:cs="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3043"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center"/>
              <w:rPr>
                <w:rFonts w:ascii="仿宋_GB2312" w:hAnsi="仿宋" w:eastAsia="仿宋_GB2312" w:cs="仿宋_GB2312"/>
                <w:color w:val="000000" w:themeColor="text1"/>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w:t>
            </w:r>
          </w:p>
        </w:tc>
        <w:tc>
          <w:tcPr>
            <w:tcW w:w="3302"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center"/>
              <w:rPr>
                <w:rFonts w:ascii="仿宋_GB2312" w:hAnsi="仿宋" w:eastAsia="仿宋_GB2312" w:cs="仿宋_GB2312"/>
                <w:color w:val="000000" w:themeColor="text1"/>
                <w:kern w:val="0"/>
                <w:sz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 w:eastAsia="仿宋_GB2312" w:cs="仿宋_GB2312"/>
                <w:color w:val="000000" w:themeColor="text1"/>
                <w:kern w:val="0"/>
                <w:sz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 w:eastAsia="仿宋_GB2312" w:cs="仿宋_GB2312"/>
                <w:color w:val="000000" w:themeColor="text1"/>
                <w:kern w:val="0"/>
                <w:sz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 w:eastAsia="仿宋_GB2312" w:cs="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043"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其它</w:t>
            </w:r>
          </w:p>
        </w:tc>
        <w:tc>
          <w:tcPr>
            <w:tcW w:w="3302"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left"/>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采购单位未提供需求而投标人认为需说明及补充的内容在此填列。</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 w:eastAsia="仿宋_GB2312" w:cs="仿宋_GB2312"/>
                <w:color w:val="000000" w:themeColor="text1"/>
                <w:kern w:val="0"/>
                <w:sz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 w:eastAsia="仿宋_GB2312" w:cs="仿宋_GB2312"/>
                <w:color w:val="000000" w:themeColor="text1"/>
                <w:kern w:val="0"/>
                <w:sz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 w:eastAsia="仿宋_GB2312" w:cs="仿宋_GB2312"/>
                <w:color w:val="000000" w:themeColor="text1"/>
                <w:kern w:val="0"/>
                <w:sz w:val="24"/>
                <w14:textFill>
                  <w14:solidFill>
                    <w14:schemeClr w14:val="tx1"/>
                  </w14:solidFill>
                </w14:textFill>
              </w:rPr>
            </w:pPr>
          </w:p>
        </w:tc>
      </w:tr>
    </w:tbl>
    <w:p>
      <w:pPr>
        <w:adjustRightInd w:val="0"/>
        <w:snapToGrid w:val="0"/>
        <w:spacing w:before="159" w:beforeLines="50" w:line="360" w:lineRule="auto"/>
        <w:ind w:right="105" w:rightChars="50"/>
        <w:jc w:val="left"/>
        <w:rPr>
          <w:rFonts w:ascii="仿宋_GB2312" w:hAnsi="仿宋" w:eastAsia="仿宋_GB2312" w:cs="仿宋_GB2312"/>
          <w:b/>
          <w:color w:val="000000" w:themeColor="text1"/>
          <w:szCs w:val="21"/>
          <w14:textFill>
            <w14:solidFill>
              <w14:schemeClr w14:val="tx1"/>
            </w14:solidFill>
          </w14:textFill>
        </w:rPr>
      </w:pPr>
      <w:r>
        <w:rPr>
          <w:rFonts w:hint="eastAsia" w:ascii="仿宋_GB2312" w:hAnsi="仿宋" w:eastAsia="仿宋_GB2312" w:cs="仿宋_GB2312"/>
          <w:b/>
          <w:color w:val="000000" w:themeColor="text1"/>
          <w:szCs w:val="21"/>
          <w14:textFill>
            <w14:solidFill>
              <w14:schemeClr w14:val="tx1"/>
            </w14:solidFill>
          </w14:textFill>
        </w:rPr>
        <w:t>填表要求：</w:t>
      </w:r>
    </w:p>
    <w:p>
      <w:pPr>
        <w:adjustRightInd w:val="0"/>
        <w:snapToGrid w:val="0"/>
        <w:spacing w:line="360" w:lineRule="auto"/>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1.“投标文件响应内容”一栏由投标人按照招标文件要求填写并进行逐项响应；</w:t>
      </w:r>
    </w:p>
    <w:p>
      <w:pPr>
        <w:adjustRightInd w:val="0"/>
        <w:snapToGrid w:val="0"/>
        <w:spacing w:line="360" w:lineRule="auto"/>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2.“偏离程度”一栏根据“投标文件响应内容”与招标文件逐项对照的结果填写；偏离必须完整的用 “正偏离、负偏离或无偏离”三个名称中的一种进行标注，不得填“正”、“负”或“无”等字样，否则视为不响应招标文件实质性要求而被否决；</w:t>
      </w:r>
    </w:p>
    <w:p>
      <w:pPr>
        <w:adjustRightInd w:val="0"/>
        <w:snapToGrid w:val="0"/>
        <w:spacing w:line="360" w:lineRule="auto"/>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3</w:t>
      </w:r>
      <w:r>
        <w:rPr>
          <w:rFonts w:ascii="仿宋_GB2312" w:hAnsi="仿宋" w:eastAsia="仿宋_GB2312" w:cs="仿宋_GB2312"/>
          <w:color w:val="000000" w:themeColor="text1"/>
          <w:sz w:val="22"/>
          <w:szCs w:val="22"/>
          <w14:textFill>
            <w14:solidFill>
              <w14:schemeClr w14:val="tx1"/>
            </w14:solidFill>
          </w14:textFill>
        </w:rPr>
        <w:t>.</w:t>
      </w:r>
      <w:r>
        <w:rPr>
          <w:rFonts w:hint="eastAsia" w:ascii="仿宋_GB2312" w:hAnsi="仿宋" w:eastAsia="仿宋_GB2312" w:cs="仿宋_GB2312"/>
          <w:color w:val="000000" w:themeColor="text1"/>
          <w:sz w:val="22"/>
          <w:szCs w:val="22"/>
          <w14:textFill>
            <w14:solidFill>
              <w14:schemeClr w14:val="tx1"/>
            </w14:solidFill>
          </w14:textFill>
        </w:rPr>
        <w:t>“偏离说明”一栏由投标人对偏离的情况做详细说明；</w:t>
      </w:r>
    </w:p>
    <w:p>
      <w:pPr>
        <w:snapToGrid w:val="0"/>
        <w:spacing w:line="480" w:lineRule="auto"/>
        <w:rPr>
          <w:rFonts w:ascii="仿宋_GB2312" w:hAnsi="仿宋" w:eastAsia="仿宋_GB2312" w:cs="仿宋_GB2312"/>
          <w:color w:val="000000" w:themeColor="text1"/>
          <w:sz w:val="24"/>
          <w14:textFill>
            <w14:solidFill>
              <w14:schemeClr w14:val="tx1"/>
            </w14:solidFill>
          </w14:textFill>
        </w:rPr>
      </w:pPr>
    </w:p>
    <w:p>
      <w:pPr>
        <w:snapToGrid w:val="0"/>
        <w:spacing w:line="480" w:lineRule="auto"/>
        <w:rPr>
          <w:rFonts w:ascii="仿宋_GB2312" w:hAnsi="仿宋" w:eastAsia="仿宋_GB2312" w:cs="仿宋_GB2312"/>
          <w:color w:val="000000" w:themeColor="text1"/>
          <w:sz w:val="24"/>
          <w14:textFill>
            <w14:solidFill>
              <w14:schemeClr w14:val="tx1"/>
            </w14:solidFill>
          </w14:textFill>
        </w:rPr>
      </w:pPr>
    </w:p>
    <w:p>
      <w:pPr>
        <w:snapToGrid w:val="0"/>
        <w:spacing w:line="48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投标人名称（加盖单位公章）：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snapToGrid w:val="0"/>
        <w:spacing w:line="48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法定代表人（或非法人组织负责人）或其授权委托人(签字或盖章)：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adjustRightInd w:val="0"/>
        <w:snapToGrid w:val="0"/>
        <w:spacing w:line="360" w:lineRule="auto"/>
        <w:ind w:right="105" w:rightChars="50"/>
        <w:jc w:val="left"/>
        <w:rPr>
          <w:rFonts w:ascii="仿宋_GB2312" w:hAnsi="仿宋" w:eastAsia="仿宋_GB2312" w:cs="仿宋_GB2312"/>
          <w:color w:val="000000" w:themeColor="text1"/>
          <w:sz w:val="24"/>
          <w:u w:val="single"/>
          <w14:textFill>
            <w14:solidFill>
              <w14:schemeClr w14:val="tx1"/>
            </w14:solidFill>
          </w14:textFill>
        </w:rPr>
        <w:sectPr>
          <w:pgSz w:w="11906" w:h="16838"/>
          <w:pgMar w:top="1719" w:right="1803" w:bottom="1418" w:left="1803" w:header="1091" w:footer="987" w:gutter="0"/>
          <w:cols w:space="720" w:num="1"/>
          <w:docGrid w:type="linesAndChars" w:linePitch="319" w:charSpace="0"/>
        </w:sectPr>
      </w:pPr>
      <w:r>
        <w:rPr>
          <w:rFonts w:hint="eastAsia" w:ascii="仿宋_GB2312" w:hAnsi="仿宋" w:eastAsia="仿宋_GB2312" w:cs="仿宋_GB2312"/>
          <w:color w:val="000000" w:themeColor="text1"/>
          <w:sz w:val="24"/>
          <w14:textFill>
            <w14:solidFill>
              <w14:schemeClr w14:val="tx1"/>
            </w14:solidFill>
          </w14:textFill>
        </w:rPr>
        <w:t xml:space="preserve">日 </w:t>
      </w:r>
      <w:r>
        <w:rPr>
          <w:rFonts w:ascii="仿宋_GB2312" w:hAnsi="仿宋" w:eastAsia="仿宋_GB2312" w:cs="仿宋_GB2312"/>
          <w:color w:val="000000" w:themeColor="text1"/>
          <w:sz w:val="24"/>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期：</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pStyle w:val="3"/>
        <w:adjustRightInd w:val="0"/>
        <w:snapToGrid w:val="0"/>
        <w:spacing w:before="0" w:after="0" w:line="240" w:lineRule="auto"/>
        <w:jc w:val="left"/>
        <w:rPr>
          <w:rFonts w:ascii="仿宋_GB2312" w:hAnsi="仿宋_GB2312" w:eastAsia="仿宋_GB2312" w:cs="仿宋_GB2312"/>
          <w:color w:val="000000" w:themeColor="text1"/>
          <w:szCs w:val="28"/>
          <w14:textFill>
            <w14:solidFill>
              <w14:schemeClr w14:val="tx1"/>
            </w14:solidFill>
          </w14:textFill>
        </w:rPr>
      </w:pPr>
      <w:bookmarkStart w:id="96" w:name="_Toc4485637"/>
      <w:bookmarkStart w:id="97" w:name="_Toc533340161"/>
      <w:r>
        <w:rPr>
          <w:rFonts w:hint="eastAsia" w:ascii="仿宋_GB2312" w:hAnsi="仿宋_GB2312" w:eastAsia="仿宋_GB2312" w:cs="仿宋_GB2312"/>
          <w:color w:val="000000" w:themeColor="text1"/>
          <w:szCs w:val="28"/>
          <w14:textFill>
            <w14:solidFill>
              <w14:schemeClr w14:val="tx1"/>
            </w14:solidFill>
          </w14:textFill>
        </w:rPr>
        <w:t>格式</w:t>
      </w:r>
      <w:r>
        <w:rPr>
          <w:rFonts w:hint="eastAsia" w:ascii="仿宋_GB2312" w:hAnsi="仿宋" w:eastAsia="仿宋_GB2312" w:cs="仿宋_GB2312"/>
          <w:color w:val="000000" w:themeColor="text1"/>
          <w:szCs w:val="28"/>
          <w14:textFill>
            <w14:solidFill>
              <w14:schemeClr w14:val="tx1"/>
            </w14:solidFill>
          </w14:textFill>
        </w:rPr>
        <w:t>14</w:t>
      </w:r>
    </w:p>
    <w:p>
      <w:pPr>
        <w:spacing w:before="159" w:beforeLines="50" w:after="159" w:afterLines="50" w:line="360" w:lineRule="auto"/>
        <w:jc w:val="center"/>
        <w:rPr>
          <w:rFonts w:ascii="方正小标宋简体" w:hAnsi="仿宋_GB2312" w:eastAsia="方正小标宋简体" w:cs="仿宋_GB2312"/>
          <w:color w:val="000000" w:themeColor="text1"/>
          <w:sz w:val="32"/>
          <w:szCs w:val="32"/>
          <w14:textFill>
            <w14:solidFill>
              <w14:schemeClr w14:val="tx1"/>
            </w14:solidFill>
          </w14:textFill>
        </w:rPr>
      </w:pPr>
      <w:r>
        <w:rPr>
          <w:rFonts w:hint="eastAsia" w:ascii="方正小标宋简体" w:hAnsi="仿宋_GB2312" w:eastAsia="方正小标宋简体" w:cs="仿宋_GB2312"/>
          <w:color w:val="000000" w:themeColor="text1"/>
          <w:sz w:val="32"/>
          <w:szCs w:val="32"/>
          <w14:textFill>
            <w14:solidFill>
              <w14:schemeClr w14:val="tx1"/>
            </w14:solidFill>
          </w14:textFill>
        </w:rPr>
        <w:t>商务条款偏离表</w:t>
      </w:r>
    </w:p>
    <w:p>
      <w:pPr>
        <w:adjustRightInd w:val="0"/>
        <w:snapToGrid w:val="0"/>
        <w:spacing w:line="240" w:lineRule="atLeast"/>
        <w:jc w:val="left"/>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 xml:space="preserve">包号：001      </w:t>
      </w:r>
    </w:p>
    <w:tbl>
      <w:tblPr>
        <w:tblStyle w:val="20"/>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4246"/>
        <w:gridCol w:w="2412"/>
        <w:gridCol w:w="796"/>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03" w:type="dxa"/>
            <w:vAlign w:val="center"/>
          </w:tcPr>
          <w:p>
            <w:pPr>
              <w:adjustRightInd w:val="0"/>
              <w:snapToGrid w:val="0"/>
              <w:ind w:right="-48" w:rightChars="-23"/>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序号</w:t>
            </w:r>
          </w:p>
        </w:tc>
        <w:tc>
          <w:tcPr>
            <w:tcW w:w="4246" w:type="dxa"/>
            <w:vAlign w:val="center"/>
          </w:tcPr>
          <w:p>
            <w:pPr>
              <w:adjustRightInd w:val="0"/>
              <w:snapToGrid w:val="0"/>
              <w:ind w:right="-73" w:rightChars="-35"/>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采购文件的商务条款</w:t>
            </w:r>
          </w:p>
          <w:p>
            <w:pPr>
              <w:adjustRightInd w:val="0"/>
              <w:snapToGrid w:val="0"/>
              <w:ind w:right="-73" w:rightChars="-35"/>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b/>
                <w:color w:val="000000" w:themeColor="text1"/>
                <w:sz w:val="24"/>
                <w14:textFill>
                  <w14:solidFill>
                    <w14:schemeClr w14:val="tx1"/>
                  </w14:solidFill>
                </w14:textFill>
              </w:rPr>
              <w:t>实质性要求及重要指标用★标注，★标注项不得负偏离，如果负偏离，则响应文件无效。</w:t>
            </w:r>
            <w:r>
              <w:rPr>
                <w:rFonts w:hint="eastAsia" w:ascii="仿宋_GB2312" w:hAnsi="仿宋_GB2312" w:eastAsia="仿宋_GB2312" w:cs="仿宋_GB2312"/>
                <w:color w:val="000000" w:themeColor="text1"/>
                <w:sz w:val="24"/>
                <w14:textFill>
                  <w14:solidFill>
                    <w14:schemeClr w14:val="tx1"/>
                  </w14:solidFill>
                </w14:textFill>
              </w:rPr>
              <w:t>）</w:t>
            </w:r>
          </w:p>
        </w:tc>
        <w:tc>
          <w:tcPr>
            <w:tcW w:w="2412" w:type="dxa"/>
            <w:vAlign w:val="center"/>
          </w:tcPr>
          <w:p>
            <w:pPr>
              <w:adjustRightInd w:val="0"/>
              <w:snapToGrid w:val="0"/>
              <w:ind w:right="-107" w:rightChars="-51"/>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响应文件响应内容</w:t>
            </w:r>
          </w:p>
        </w:tc>
        <w:tc>
          <w:tcPr>
            <w:tcW w:w="796" w:type="dxa"/>
            <w:vAlign w:val="center"/>
          </w:tcPr>
          <w:p>
            <w:pPr>
              <w:adjustRightInd w:val="0"/>
              <w:snapToGrid w:val="0"/>
              <w:ind w:right="-107" w:rightChars="-51"/>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偏离</w:t>
            </w:r>
          </w:p>
          <w:p>
            <w:pPr>
              <w:adjustRightInd w:val="0"/>
              <w:snapToGrid w:val="0"/>
              <w:ind w:right="-107" w:rightChars="-51"/>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程度</w:t>
            </w:r>
          </w:p>
        </w:tc>
        <w:tc>
          <w:tcPr>
            <w:tcW w:w="829" w:type="dxa"/>
            <w:vAlign w:val="center"/>
          </w:tcPr>
          <w:p>
            <w:pPr>
              <w:adjustRightInd w:val="0"/>
              <w:snapToGrid w:val="0"/>
              <w:ind w:right="-107" w:rightChars="-51"/>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偏离</w:t>
            </w:r>
          </w:p>
          <w:p>
            <w:pPr>
              <w:adjustRightInd w:val="0"/>
              <w:snapToGrid w:val="0"/>
              <w:ind w:right="-107" w:rightChars="-51"/>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w:t>
            </w:r>
          </w:p>
        </w:tc>
        <w:tc>
          <w:tcPr>
            <w:tcW w:w="4246" w:type="dxa"/>
            <w:vAlign w:val="center"/>
          </w:tcPr>
          <w:p>
            <w:pPr>
              <w:adjustRightInd w:val="0"/>
              <w:snapToGrid w:val="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_GB2312" w:eastAsia="仿宋_GB2312" w:cs="仿宋_GB2312"/>
                <w:bCs/>
                <w:color w:val="000000" w:themeColor="text1"/>
                <w:sz w:val="24"/>
                <w14:textFill>
                  <w14:solidFill>
                    <w14:schemeClr w14:val="tx1"/>
                  </w14:solidFill>
                </w14:textFill>
              </w:rPr>
              <w:t>履约期限：</w:t>
            </w:r>
            <w:r>
              <w:rPr>
                <w:rFonts w:hint="eastAsia" w:ascii="仿宋_GB2312" w:hAnsi="仿宋" w:eastAsia="仿宋_GB2312" w:cs="仿宋_GB2312"/>
                <w:color w:val="000000" w:themeColor="text1"/>
                <w:sz w:val="24"/>
                <w14:textFill>
                  <w14:solidFill>
                    <w14:schemeClr w14:val="tx1"/>
                  </w14:solidFill>
                </w14:textFill>
              </w:rPr>
              <w:t>2023年7月30日前，完成数据中台部署工作。2023年12月31日前，完成应用系统整合和统一应用支撑平台建设工作，系统初验进入试运行阶段。整体项目全部内容交付运行时间不低于30天（自然日），经监理、采购人确认具备终验条件后，组织项目终验。</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w:t>
            </w:r>
          </w:p>
        </w:tc>
        <w:tc>
          <w:tcPr>
            <w:tcW w:w="4246" w:type="dxa"/>
            <w:vAlign w:val="center"/>
          </w:tcPr>
          <w:p>
            <w:pPr>
              <w:adjustRightInd w:val="0"/>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 xml:space="preserve">履约地点：辽宁省住房和城乡建设厅指定地点。 </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w:t>
            </w:r>
          </w:p>
        </w:tc>
        <w:tc>
          <w:tcPr>
            <w:tcW w:w="4246" w:type="dxa"/>
            <w:vAlign w:val="center"/>
          </w:tcPr>
          <w:p>
            <w:pPr>
              <w:adjustRightInd w:val="0"/>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付款方式及条件：合同签订后，支付至合同总额的</w:t>
            </w:r>
            <w:r>
              <w:rPr>
                <w:rFonts w:ascii="仿宋_GB2312" w:hAnsi="仿宋_GB2312" w:eastAsia="仿宋_GB2312" w:cs="仿宋_GB2312"/>
                <w:color w:val="000000" w:themeColor="text1"/>
                <w:sz w:val="24"/>
                <w14:textFill>
                  <w14:solidFill>
                    <w14:schemeClr w14:val="tx1"/>
                  </w14:solidFill>
                </w14:textFill>
              </w:rPr>
              <w:t>35</w:t>
            </w:r>
            <w:r>
              <w:rPr>
                <w:rFonts w:hint="eastAsia" w:ascii="仿宋_GB2312" w:hAnsi="仿宋_GB2312" w:eastAsia="仿宋_GB2312" w:cs="仿宋_GB2312"/>
                <w:color w:val="000000" w:themeColor="text1"/>
                <w:sz w:val="24"/>
                <w14:textFill>
                  <w14:solidFill>
                    <w14:schemeClr w14:val="tx1"/>
                  </w14:solidFill>
                </w14:textFill>
              </w:rPr>
              <w:t>%作为项目预付款；项目初验通过后，支付至合同总额的</w:t>
            </w:r>
            <w:r>
              <w:rPr>
                <w:rFonts w:ascii="仿宋_GB2312" w:hAnsi="仿宋_GB2312" w:eastAsia="仿宋_GB2312" w:cs="仿宋_GB2312"/>
                <w:color w:val="000000" w:themeColor="text1"/>
                <w:sz w:val="24"/>
                <w14:textFill>
                  <w14:solidFill>
                    <w14:schemeClr w14:val="tx1"/>
                  </w14:solidFill>
                </w14:textFill>
              </w:rPr>
              <w:t>70</w:t>
            </w:r>
            <w:r>
              <w:rPr>
                <w:rFonts w:hint="eastAsia" w:ascii="仿宋_GB2312" w:hAnsi="仿宋_GB2312" w:eastAsia="仿宋_GB2312" w:cs="仿宋_GB2312"/>
                <w:color w:val="000000" w:themeColor="text1"/>
                <w:sz w:val="24"/>
                <w14:textFill>
                  <w14:solidFill>
                    <w14:schemeClr w14:val="tx1"/>
                  </w14:solidFill>
                </w14:textFill>
              </w:rPr>
              <w:t>%；项目终验通过后，完成项目移交，支付至合同总额的100%。（具体支付时间以财政支付进度为准）</w:t>
            </w:r>
          </w:p>
          <w:p>
            <w:pPr>
              <w:adjustRightInd w:val="0"/>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注：付款同时须按采购人要求提供相应发票。</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w:t>
            </w:r>
          </w:p>
        </w:tc>
        <w:tc>
          <w:tcPr>
            <w:tcW w:w="4246" w:type="dxa"/>
            <w:vAlign w:val="center"/>
          </w:tcPr>
          <w:p>
            <w:pPr>
              <w:adjustRightInd w:val="0"/>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运维服务期限：运维服务期限：各包组及其业务交叉部分，由实际负责建设的中标人负责运维服务，运维服务期限统一均为合同签订之日起三年。</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03" w:type="dxa"/>
            <w:vAlign w:val="center"/>
          </w:tcPr>
          <w:p>
            <w:pPr>
              <w:adjustRightInd w:val="0"/>
              <w:snapToGrid w:val="0"/>
              <w:ind w:right="105" w:rightChars="50"/>
              <w:jc w:val="center"/>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5</w:t>
            </w:r>
          </w:p>
        </w:tc>
        <w:tc>
          <w:tcPr>
            <w:tcW w:w="4246" w:type="dxa"/>
            <w:vAlign w:val="center"/>
          </w:tcPr>
          <w:p>
            <w:pPr>
              <w:adjustRightInd w:val="0"/>
              <w:snapToGrid w:val="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w:t>
            </w:r>
            <w:r>
              <w:rPr>
                <w:rFonts w:hint="eastAsia" w:ascii="仿宋_GB2312" w:hAnsi="仿宋_GB2312" w:eastAsia="仿宋_GB2312" w:cs="仿宋_GB2312"/>
                <w:b/>
                <w:bCs/>
                <w:color w:val="000000" w:themeColor="text1"/>
                <w:sz w:val="24"/>
                <w14:textFill>
                  <w14:solidFill>
                    <w14:schemeClr w14:val="tx1"/>
                  </w14:solidFill>
                </w14:textFill>
              </w:rPr>
              <w:t>投标人提供“无条件开放接口”的承诺函（见格式14-1）。</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w:t>
            </w:r>
          </w:p>
        </w:tc>
        <w:tc>
          <w:tcPr>
            <w:tcW w:w="4246" w:type="dxa"/>
            <w:vAlign w:val="center"/>
          </w:tcPr>
          <w:p>
            <w:pPr>
              <w:adjustRightInd w:val="0"/>
              <w:snapToGrid w:val="0"/>
              <w:ind w:hanging="1"/>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 w:eastAsia="仿宋_GB2312" w:cs="仿宋_GB2312"/>
                <w:color w:val="000000" w:themeColor="text1"/>
                <w:sz w:val="24"/>
                <w14:textFill>
                  <w14:solidFill>
                    <w14:schemeClr w14:val="tx1"/>
                  </w14:solidFill>
                </w14:textFill>
              </w:rPr>
              <w:t>热线支持：7*24小时的日常运维服务、技术专家远程支持、定期提供安全巡检报告、技术咨询服务等；</w:t>
            </w:r>
          </w:p>
          <w:p>
            <w:pPr>
              <w:adjustRightInd w:val="0"/>
              <w:snapToGrid w:val="0"/>
              <w:rPr>
                <w:rFonts w:ascii="仿宋_GB2312" w:hAnsi="仿宋" w:eastAsia="仿宋_GB2312" w:cs="仿宋_GB2312"/>
                <w:b/>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 w:eastAsia="仿宋_GB2312" w:cs="仿宋_GB2312"/>
                <w:color w:val="000000" w:themeColor="text1"/>
                <w:sz w:val="24"/>
                <w14:textFill>
                  <w14:solidFill>
                    <w14:schemeClr w14:val="tx1"/>
                  </w14:solidFill>
                </w14:textFill>
              </w:rPr>
              <w:t>现场支持：</w:t>
            </w:r>
            <w:r>
              <w:rPr>
                <w:rFonts w:ascii="仿宋_GB2312" w:hAnsi="仿宋" w:eastAsia="仿宋_GB2312" w:cs="仿宋_GB2312"/>
                <w:color w:val="000000" w:themeColor="text1"/>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小时内响应；</w:t>
            </w:r>
            <w:r>
              <w:rPr>
                <w:rFonts w:ascii="仿宋_GB2312" w:hAnsi="仿宋" w:eastAsia="仿宋_GB2312" w:cs="仿宋_GB2312"/>
                <w:color w:val="000000" w:themeColor="text1"/>
                <w:sz w:val="24"/>
                <w14:textFill>
                  <w14:solidFill>
                    <w14:schemeClr w14:val="tx1"/>
                  </w14:solidFill>
                </w14:textFill>
              </w:rPr>
              <w:t>3</w:t>
            </w:r>
            <w:r>
              <w:rPr>
                <w:rFonts w:hint="eastAsia" w:ascii="仿宋_GB2312" w:hAnsi="仿宋" w:eastAsia="仿宋_GB2312" w:cs="仿宋_GB2312"/>
                <w:color w:val="000000" w:themeColor="text1"/>
                <w:sz w:val="24"/>
                <w14:textFill>
                  <w14:solidFill>
                    <w14:schemeClr w14:val="tx1"/>
                  </w14:solidFill>
                </w14:textFill>
              </w:rPr>
              <w:t>小时内到达。</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w:t>
            </w:r>
          </w:p>
        </w:tc>
        <w:tc>
          <w:tcPr>
            <w:tcW w:w="4246" w:type="dxa"/>
            <w:vAlign w:val="center"/>
          </w:tcPr>
          <w:p>
            <w:pPr>
              <w:adjustRightInd w:val="0"/>
              <w:snapToGrid w:val="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 w:eastAsia="仿宋_GB2312" w:cs="仿宋_GB2312"/>
                <w:color w:val="000000" w:themeColor="text1"/>
                <w:sz w:val="24"/>
                <w14:textFill>
                  <w14:solidFill>
                    <w14:schemeClr w14:val="tx1"/>
                  </w14:solidFill>
                </w14:textFill>
              </w:rPr>
              <w:t>验收标准、验收程序、验收报告：本项目将严格按照政府采购相关法律法规以及《辽宁省政府采购履约验收管理办法》（辽财采〔2017〕603号）的要求进行验收。</w:t>
            </w:r>
          </w:p>
          <w:p>
            <w:pPr>
              <w:adjustRightInd w:val="0"/>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组织验收主体：本项目的履约验收工作由采购人依法组织实施。</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8</w:t>
            </w:r>
          </w:p>
        </w:tc>
        <w:tc>
          <w:tcPr>
            <w:tcW w:w="4246" w:type="dxa"/>
            <w:vAlign w:val="center"/>
          </w:tcPr>
          <w:p>
            <w:pPr>
              <w:rPr>
                <w:color w:val="000000" w:themeColor="text1"/>
                <w:szCs w:val="21"/>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 w:eastAsia="仿宋_GB2312"/>
                <w:color w:val="000000" w:themeColor="text1"/>
                <w:sz w:val="24"/>
                <w14:textFill>
                  <w14:solidFill>
                    <w14:schemeClr w14:val="tx1"/>
                  </w14:solidFill>
                </w14:textFill>
              </w:rPr>
              <w:t>现场培训（操作、维护等）：为采购人提供免费的现场培训。培训内容包括但不限于系统使用方法和技巧、故障诊断、维护管理等方面。使受训者能够独立、熟练的完成操作。</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9</w:t>
            </w:r>
          </w:p>
        </w:tc>
        <w:tc>
          <w:tcPr>
            <w:tcW w:w="4246" w:type="dxa"/>
            <w:vAlign w:val="center"/>
          </w:tcPr>
          <w:p>
            <w:pPr>
              <w:adjustRightInd w:val="0"/>
              <w:snapToGrid w:val="0"/>
              <w:ind w:hanging="1"/>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其它</w:t>
            </w:r>
          </w:p>
        </w:tc>
        <w:tc>
          <w:tcPr>
            <w:tcW w:w="2412" w:type="dxa"/>
            <w:vAlign w:val="center"/>
          </w:tcPr>
          <w:p>
            <w:pPr>
              <w:adjustRightInd w:val="0"/>
              <w:snapToGrid w:val="0"/>
              <w:ind w:right="105" w:rightChars="5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采购单位未提供需求而投标人认为需说明及补充的内容在此填列</w:t>
            </w: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bl>
    <w:p>
      <w:pPr>
        <w:adjustRightInd w:val="0"/>
        <w:snapToGrid w:val="0"/>
        <w:spacing w:line="360" w:lineRule="auto"/>
        <w:ind w:right="105" w:rightChars="5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填表说明：</w:t>
      </w:r>
    </w:p>
    <w:p>
      <w:pPr>
        <w:adjustRightInd w:val="0"/>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响应文件响应内容”一栏由投标人填写。</w:t>
      </w:r>
    </w:p>
    <w:p>
      <w:pPr>
        <w:adjustRightInd w:val="0"/>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2.“偏离程度”一栏根据“响应文件响应内容”与采购文件逐项对照的结果填写。</w:t>
      </w:r>
      <w:r>
        <w:rPr>
          <w:rFonts w:hint="eastAsia" w:ascii="仿宋_GB2312" w:hAnsi="仿宋_GB2312" w:eastAsia="仿宋_GB2312" w:cs="仿宋_GB2312"/>
          <w:color w:val="000000" w:themeColor="text1"/>
          <w:sz w:val="24"/>
          <w14:textFill>
            <w14:solidFill>
              <w14:schemeClr w14:val="tx1"/>
            </w14:solidFill>
          </w14:textFill>
        </w:rPr>
        <w:t>偏离必须用 “正偏离、负偏离或无偏离”三个名称中的一种进行标注。</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3.“偏离说明”一栏由投标人对偏离的情况做详细说明。</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4.后附投标人</w:t>
      </w:r>
      <w:r>
        <w:rPr>
          <w:rFonts w:hint="eastAsia" w:ascii="仿宋_GB2312" w:hAnsi="仿宋_GB2312" w:eastAsia="仿宋_GB2312" w:cs="仿宋_GB2312"/>
          <w:color w:val="000000" w:themeColor="text1"/>
          <w:sz w:val="24"/>
          <w14:textFill>
            <w14:solidFill>
              <w14:schemeClr w14:val="tx1"/>
            </w14:solidFill>
          </w14:textFill>
        </w:rPr>
        <w:t>“无条件开放接口”的承诺函，见格式14-1。</w:t>
      </w:r>
    </w:p>
    <w:p>
      <w:pPr>
        <w:adjustRightInd w:val="0"/>
        <w:snapToGrid w:val="0"/>
        <w:spacing w:line="360" w:lineRule="auto"/>
        <w:ind w:right="105" w:rightChars="50"/>
        <w:jc w:val="left"/>
        <w:rPr>
          <w:rFonts w:ascii="仿宋_GB2312" w:hAnsi="仿宋_GB2312" w:eastAsia="仿宋_GB2312" w:cs="仿宋_GB2312"/>
          <w:color w:val="000000" w:themeColor="text1"/>
          <w:sz w:val="24"/>
          <w14:textFill>
            <w14:solidFill>
              <w14:schemeClr w14:val="tx1"/>
            </w14:solidFill>
          </w14:textFill>
        </w:rPr>
      </w:pPr>
    </w:p>
    <w:p>
      <w:pPr>
        <w:adjustRightInd w:val="0"/>
        <w:snapToGrid w:val="0"/>
        <w:spacing w:line="360" w:lineRule="auto"/>
        <w:ind w:right="105" w:rightChars="50"/>
        <w:jc w:val="left"/>
        <w:rPr>
          <w:rFonts w:ascii="仿宋_GB2312" w:hAnsi="仿宋_GB2312" w:eastAsia="仿宋_GB2312" w:cs="仿宋_GB2312"/>
          <w:color w:val="000000" w:themeColor="text1"/>
          <w:sz w:val="24"/>
          <w14:textFill>
            <w14:solidFill>
              <w14:schemeClr w14:val="tx1"/>
            </w14:solidFill>
          </w14:textFill>
        </w:rPr>
      </w:pPr>
    </w:p>
    <w:p>
      <w:pPr>
        <w:adjustRightInd w:val="0"/>
        <w:snapToGrid w:val="0"/>
        <w:spacing w:line="360" w:lineRule="auto"/>
        <w:ind w:right="105" w:rightChars="50"/>
        <w:jc w:val="left"/>
        <w:rPr>
          <w:rFonts w:ascii="仿宋_GB2312" w:hAnsi="仿宋_GB2312" w:eastAsia="仿宋_GB2312" w:cs="仿宋_GB2312"/>
          <w:color w:val="000000" w:themeColor="text1"/>
          <w:sz w:val="24"/>
          <w14:textFill>
            <w14:solidFill>
              <w14:schemeClr w14:val="tx1"/>
            </w14:solidFill>
          </w14:textFill>
        </w:rPr>
      </w:pPr>
    </w:p>
    <w:p>
      <w:pPr>
        <w:adjustRightInd w:val="0"/>
        <w:snapToGrid w:val="0"/>
        <w:spacing w:line="360" w:lineRule="auto"/>
        <w:ind w:right="105" w:rightChars="50"/>
        <w:jc w:val="left"/>
        <w:rPr>
          <w:rFonts w:ascii="仿宋_GB2312" w:hAnsi="仿宋_GB2312" w:eastAsia="仿宋_GB2312" w:cs="仿宋_GB2312"/>
          <w:color w:val="000000" w:themeColor="text1"/>
          <w:sz w:val="24"/>
          <w:u w:val="single"/>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投标人名称(加盖单位公章):</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p>
    <w:p>
      <w:pPr>
        <w:adjustRightInd w:val="0"/>
        <w:snapToGrid w:val="0"/>
        <w:spacing w:line="360" w:lineRule="auto"/>
        <w:ind w:right="105" w:rightChars="50"/>
        <w:jc w:val="left"/>
        <w:rPr>
          <w:rFonts w:ascii="仿宋_GB2312" w:hAnsi="仿宋_GB2312" w:eastAsia="仿宋_GB2312" w:cs="仿宋_GB2312"/>
          <w:color w:val="000000" w:themeColor="text1"/>
          <w:sz w:val="24"/>
          <w:u w:val="single"/>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法定代表人（或非法人组织负责人）或其授权委托人(签字或盖章):</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p>
    <w:p>
      <w:pPr>
        <w:pStyle w:val="51"/>
        <w:snapToGrid w:val="0"/>
        <w:spacing w:line="360" w:lineRule="auto"/>
        <w:rPr>
          <w:color w:val="000000" w:themeColor="text1"/>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日      期:</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3"/>
        <w:adjustRightInd w:val="0"/>
        <w:snapToGrid w:val="0"/>
        <w:spacing w:before="0" w:after="0" w:line="240" w:lineRule="auto"/>
        <w:jc w:val="left"/>
        <w:rPr>
          <w:rFonts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格式</w:t>
      </w:r>
      <w:r>
        <w:rPr>
          <w:rFonts w:hint="eastAsia" w:ascii="仿宋_GB2312" w:hAnsi="仿宋" w:eastAsia="仿宋_GB2312" w:cs="仿宋_GB2312"/>
          <w:color w:val="000000" w:themeColor="text1"/>
          <w:szCs w:val="28"/>
          <w14:textFill>
            <w14:solidFill>
              <w14:schemeClr w14:val="tx1"/>
            </w14:solidFill>
          </w14:textFill>
        </w:rPr>
        <w:t>14</w:t>
      </w:r>
    </w:p>
    <w:p>
      <w:pPr>
        <w:spacing w:before="159" w:beforeLines="50" w:after="159" w:afterLines="50" w:line="360" w:lineRule="auto"/>
        <w:jc w:val="center"/>
        <w:rPr>
          <w:rFonts w:ascii="方正小标宋简体" w:hAnsi="仿宋_GB2312" w:eastAsia="方正小标宋简体" w:cs="仿宋_GB2312"/>
          <w:color w:val="000000" w:themeColor="text1"/>
          <w:sz w:val="32"/>
          <w:szCs w:val="32"/>
          <w14:textFill>
            <w14:solidFill>
              <w14:schemeClr w14:val="tx1"/>
            </w14:solidFill>
          </w14:textFill>
        </w:rPr>
      </w:pPr>
      <w:r>
        <w:rPr>
          <w:rFonts w:hint="eastAsia" w:ascii="方正小标宋简体" w:hAnsi="仿宋_GB2312" w:eastAsia="方正小标宋简体" w:cs="仿宋_GB2312"/>
          <w:color w:val="000000" w:themeColor="text1"/>
          <w:sz w:val="32"/>
          <w:szCs w:val="32"/>
          <w14:textFill>
            <w14:solidFill>
              <w14:schemeClr w14:val="tx1"/>
            </w14:solidFill>
          </w14:textFill>
        </w:rPr>
        <w:t>商务条款偏离表</w:t>
      </w:r>
    </w:p>
    <w:p>
      <w:pPr>
        <w:adjustRightInd w:val="0"/>
        <w:snapToGrid w:val="0"/>
        <w:spacing w:line="240" w:lineRule="atLeast"/>
        <w:jc w:val="left"/>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 xml:space="preserve">包号：002     </w:t>
      </w:r>
    </w:p>
    <w:tbl>
      <w:tblPr>
        <w:tblStyle w:val="20"/>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4246"/>
        <w:gridCol w:w="2412"/>
        <w:gridCol w:w="796"/>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03" w:type="dxa"/>
            <w:vAlign w:val="center"/>
          </w:tcPr>
          <w:p>
            <w:pPr>
              <w:adjustRightInd w:val="0"/>
              <w:snapToGrid w:val="0"/>
              <w:ind w:right="-48" w:rightChars="-23"/>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序号</w:t>
            </w:r>
          </w:p>
        </w:tc>
        <w:tc>
          <w:tcPr>
            <w:tcW w:w="4246" w:type="dxa"/>
            <w:vAlign w:val="center"/>
          </w:tcPr>
          <w:p>
            <w:pPr>
              <w:adjustRightInd w:val="0"/>
              <w:snapToGrid w:val="0"/>
              <w:ind w:right="-73" w:rightChars="-35"/>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采购文件的商务条款</w:t>
            </w:r>
          </w:p>
          <w:p>
            <w:pPr>
              <w:adjustRightInd w:val="0"/>
              <w:snapToGrid w:val="0"/>
              <w:ind w:right="-73" w:rightChars="-35"/>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b/>
                <w:color w:val="000000" w:themeColor="text1"/>
                <w:sz w:val="24"/>
                <w14:textFill>
                  <w14:solidFill>
                    <w14:schemeClr w14:val="tx1"/>
                  </w14:solidFill>
                </w14:textFill>
              </w:rPr>
              <w:t>实质性要求及重要指标用★标注，★标注项不得负偏离，如果负偏离，则响应文件无效。</w:t>
            </w:r>
            <w:r>
              <w:rPr>
                <w:rFonts w:hint="eastAsia" w:ascii="仿宋_GB2312" w:hAnsi="仿宋_GB2312" w:eastAsia="仿宋_GB2312" w:cs="仿宋_GB2312"/>
                <w:color w:val="000000" w:themeColor="text1"/>
                <w:sz w:val="24"/>
                <w14:textFill>
                  <w14:solidFill>
                    <w14:schemeClr w14:val="tx1"/>
                  </w14:solidFill>
                </w14:textFill>
              </w:rPr>
              <w:t>）</w:t>
            </w:r>
          </w:p>
        </w:tc>
        <w:tc>
          <w:tcPr>
            <w:tcW w:w="2412" w:type="dxa"/>
            <w:vAlign w:val="center"/>
          </w:tcPr>
          <w:p>
            <w:pPr>
              <w:adjustRightInd w:val="0"/>
              <w:snapToGrid w:val="0"/>
              <w:ind w:right="-107" w:rightChars="-51"/>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响应文件响应内容</w:t>
            </w:r>
          </w:p>
        </w:tc>
        <w:tc>
          <w:tcPr>
            <w:tcW w:w="796" w:type="dxa"/>
            <w:vAlign w:val="center"/>
          </w:tcPr>
          <w:p>
            <w:pPr>
              <w:adjustRightInd w:val="0"/>
              <w:snapToGrid w:val="0"/>
              <w:ind w:right="-107" w:rightChars="-51"/>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偏离</w:t>
            </w:r>
          </w:p>
          <w:p>
            <w:pPr>
              <w:adjustRightInd w:val="0"/>
              <w:snapToGrid w:val="0"/>
              <w:ind w:right="-107" w:rightChars="-51"/>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程度</w:t>
            </w:r>
          </w:p>
        </w:tc>
        <w:tc>
          <w:tcPr>
            <w:tcW w:w="829" w:type="dxa"/>
            <w:vAlign w:val="center"/>
          </w:tcPr>
          <w:p>
            <w:pPr>
              <w:adjustRightInd w:val="0"/>
              <w:snapToGrid w:val="0"/>
              <w:ind w:right="-107" w:rightChars="-51"/>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偏离</w:t>
            </w:r>
          </w:p>
          <w:p>
            <w:pPr>
              <w:adjustRightInd w:val="0"/>
              <w:snapToGrid w:val="0"/>
              <w:ind w:right="-107" w:rightChars="-51"/>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w:t>
            </w:r>
          </w:p>
        </w:tc>
        <w:tc>
          <w:tcPr>
            <w:tcW w:w="4246" w:type="dxa"/>
            <w:vAlign w:val="center"/>
          </w:tcPr>
          <w:p>
            <w:pPr>
              <w:widowControl/>
              <w:jc w:val="left"/>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_GB2312" w:eastAsia="仿宋_GB2312" w:cs="仿宋_GB2312"/>
                <w:bCs/>
                <w:color w:val="000000" w:themeColor="text1"/>
                <w:sz w:val="24"/>
                <w14:textFill>
                  <w14:solidFill>
                    <w14:schemeClr w14:val="tx1"/>
                  </w14:solidFill>
                </w14:textFill>
              </w:rPr>
              <w:t>履约期限：</w:t>
            </w:r>
            <w:r>
              <w:rPr>
                <w:rFonts w:hint="eastAsia" w:ascii="仿宋_GB2312" w:hAnsi="仿宋_GB2312" w:eastAsia="仿宋_GB2312" w:cs="仿宋_GB2312"/>
                <w:color w:val="000000" w:themeColor="text1"/>
                <w:kern w:val="0"/>
                <w:sz w:val="24"/>
                <w:lang w:bidi="ar"/>
                <w14:textFill>
                  <w14:solidFill>
                    <w14:schemeClr w14:val="tx1"/>
                  </w14:solidFill>
                </w14:textFill>
              </w:rPr>
              <w:t>本项目要求2023年12月31日前完成项目建设内容。</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w:t>
            </w:r>
          </w:p>
        </w:tc>
        <w:tc>
          <w:tcPr>
            <w:tcW w:w="4246" w:type="dxa"/>
            <w:vAlign w:val="center"/>
          </w:tcPr>
          <w:p>
            <w:pPr>
              <w:adjustRightInd w:val="0"/>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履约地点：辽宁省住房和城乡建设厅指定地点。</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w:t>
            </w:r>
          </w:p>
        </w:tc>
        <w:tc>
          <w:tcPr>
            <w:tcW w:w="4246" w:type="dxa"/>
            <w:vAlign w:val="center"/>
          </w:tcPr>
          <w:p>
            <w:pPr>
              <w:adjustRightInd w:val="0"/>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付款方式及条件：合同签订后，支付至合同总额的</w:t>
            </w:r>
            <w:r>
              <w:rPr>
                <w:rFonts w:ascii="仿宋_GB2312" w:hAnsi="仿宋_GB2312" w:eastAsia="仿宋_GB2312" w:cs="仿宋_GB2312"/>
                <w:color w:val="000000" w:themeColor="text1"/>
                <w:sz w:val="24"/>
                <w14:textFill>
                  <w14:solidFill>
                    <w14:schemeClr w14:val="tx1"/>
                  </w14:solidFill>
                </w14:textFill>
              </w:rPr>
              <w:t>35</w:t>
            </w:r>
            <w:r>
              <w:rPr>
                <w:rFonts w:hint="eastAsia" w:ascii="仿宋_GB2312" w:hAnsi="仿宋_GB2312" w:eastAsia="仿宋_GB2312" w:cs="仿宋_GB2312"/>
                <w:color w:val="000000" w:themeColor="text1"/>
                <w:sz w:val="24"/>
                <w14:textFill>
                  <w14:solidFill>
                    <w14:schemeClr w14:val="tx1"/>
                  </w14:solidFill>
                </w14:textFill>
              </w:rPr>
              <w:t>%作为项目预付款；项目初验通过后，支付至合同总额的</w:t>
            </w:r>
            <w:r>
              <w:rPr>
                <w:rFonts w:ascii="仿宋_GB2312" w:hAnsi="仿宋_GB2312" w:eastAsia="仿宋_GB2312" w:cs="仿宋_GB2312"/>
                <w:color w:val="000000" w:themeColor="text1"/>
                <w:sz w:val="24"/>
                <w14:textFill>
                  <w14:solidFill>
                    <w14:schemeClr w14:val="tx1"/>
                  </w14:solidFill>
                </w14:textFill>
              </w:rPr>
              <w:t>70</w:t>
            </w:r>
            <w:r>
              <w:rPr>
                <w:rFonts w:hint="eastAsia" w:ascii="仿宋_GB2312" w:hAnsi="仿宋_GB2312" w:eastAsia="仿宋_GB2312" w:cs="仿宋_GB2312"/>
                <w:color w:val="000000" w:themeColor="text1"/>
                <w:sz w:val="24"/>
                <w14:textFill>
                  <w14:solidFill>
                    <w14:schemeClr w14:val="tx1"/>
                  </w14:solidFill>
                </w14:textFill>
              </w:rPr>
              <w:t>%；项目终验通过后，完成项目移交，支付至合同总额的100%。（具体支付时间以财政支付进度为准）</w:t>
            </w:r>
          </w:p>
          <w:p>
            <w:pPr>
              <w:widowControl/>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注：付款同时须按采购人要求提供相应发票。</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w:t>
            </w:r>
          </w:p>
        </w:tc>
        <w:tc>
          <w:tcPr>
            <w:tcW w:w="4246" w:type="dxa"/>
            <w:vAlign w:val="center"/>
          </w:tcPr>
          <w:p>
            <w:pPr>
              <w:adjustRightInd w:val="0"/>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运维服务期限：运维服务期限：各包组及其业务交叉部分，由实际负责建设的中标人负责运维服务，运维服务期限统一均为合同签订之日起三年。</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5</w:t>
            </w:r>
          </w:p>
        </w:tc>
        <w:tc>
          <w:tcPr>
            <w:tcW w:w="4246" w:type="dxa"/>
            <w:vAlign w:val="center"/>
          </w:tcPr>
          <w:p>
            <w:pPr>
              <w:adjustRightInd w:val="0"/>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w:t>
            </w:r>
            <w:r>
              <w:rPr>
                <w:rFonts w:hint="eastAsia" w:ascii="仿宋_GB2312" w:hAnsi="仿宋_GB2312" w:eastAsia="仿宋_GB2312" w:cs="仿宋_GB2312"/>
                <w:b/>
                <w:bCs/>
                <w:color w:val="000000" w:themeColor="text1"/>
                <w:sz w:val="24"/>
                <w14:textFill>
                  <w14:solidFill>
                    <w14:schemeClr w14:val="tx1"/>
                  </w14:solidFill>
                </w14:textFill>
              </w:rPr>
              <w:t>投标人提供“无条件开放接口”的承诺函（见格式14-1）。</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w:t>
            </w:r>
          </w:p>
        </w:tc>
        <w:tc>
          <w:tcPr>
            <w:tcW w:w="4246" w:type="dxa"/>
            <w:vAlign w:val="center"/>
          </w:tcPr>
          <w:p>
            <w:pPr>
              <w:adjustRightInd w:val="0"/>
              <w:snapToGrid w:val="0"/>
              <w:ind w:hanging="1"/>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 w:eastAsia="仿宋_GB2312" w:cs="仿宋_GB2312"/>
                <w:color w:val="000000" w:themeColor="text1"/>
                <w:sz w:val="24"/>
                <w14:textFill>
                  <w14:solidFill>
                    <w14:schemeClr w14:val="tx1"/>
                  </w14:solidFill>
                </w14:textFill>
              </w:rPr>
              <w:t>热线支持：7*24小时的日常运维服务、技术专家远程支持、定期提供安全巡检报告、技术咨询服务等；</w:t>
            </w:r>
          </w:p>
          <w:p>
            <w:pPr>
              <w:adjustRightInd w:val="0"/>
              <w:snapToGrid w:val="0"/>
              <w:rPr>
                <w:rFonts w:ascii="仿宋_GB2312" w:hAnsi="仿宋" w:eastAsia="仿宋_GB2312" w:cs="仿宋_GB2312"/>
                <w:b/>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 w:eastAsia="仿宋_GB2312" w:cs="仿宋_GB2312"/>
                <w:color w:val="000000" w:themeColor="text1"/>
                <w:sz w:val="24"/>
                <w14:textFill>
                  <w14:solidFill>
                    <w14:schemeClr w14:val="tx1"/>
                  </w14:solidFill>
                </w14:textFill>
              </w:rPr>
              <w:t>现场支持：0.25小时内响应；1小时内到达。</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w:t>
            </w:r>
          </w:p>
        </w:tc>
        <w:tc>
          <w:tcPr>
            <w:tcW w:w="4246" w:type="dxa"/>
            <w:vAlign w:val="center"/>
          </w:tcPr>
          <w:p>
            <w:pPr>
              <w:adjustRightInd w:val="0"/>
              <w:snapToGrid w:val="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 w:eastAsia="仿宋_GB2312" w:cs="仿宋_GB2312"/>
                <w:color w:val="000000" w:themeColor="text1"/>
                <w:sz w:val="24"/>
                <w14:textFill>
                  <w14:solidFill>
                    <w14:schemeClr w14:val="tx1"/>
                  </w14:solidFill>
                </w14:textFill>
              </w:rPr>
              <w:t>验收标准、验收程序、验收报告：本项目将严格按照政府采购相关法律法规以及《辽宁省政府采购履约验收管理办法》（辽财采〔2017〕603号）的要求进行验收。</w:t>
            </w:r>
          </w:p>
          <w:p>
            <w:pPr>
              <w:adjustRightInd w:val="0"/>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组织验收主体：本项目的履约验收工作由采购人依法组织实施。</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8</w:t>
            </w:r>
          </w:p>
        </w:tc>
        <w:tc>
          <w:tcPr>
            <w:tcW w:w="4246" w:type="dxa"/>
            <w:vAlign w:val="center"/>
          </w:tcPr>
          <w:p>
            <w:pPr>
              <w:rPr>
                <w:color w:val="000000" w:themeColor="text1"/>
                <w:szCs w:val="21"/>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 w:eastAsia="仿宋_GB2312"/>
                <w:color w:val="000000" w:themeColor="text1"/>
                <w:sz w:val="24"/>
                <w14:textFill>
                  <w14:solidFill>
                    <w14:schemeClr w14:val="tx1"/>
                  </w14:solidFill>
                </w14:textFill>
              </w:rPr>
              <w:t>现场培训（操作、维护等）：为采购人提供免费的现场培训。培训内容包括但不限于系统使用方法和技巧、故障诊断、维护管理等方面。使受训者能够独立、熟练的完成操作。</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9</w:t>
            </w:r>
          </w:p>
        </w:tc>
        <w:tc>
          <w:tcPr>
            <w:tcW w:w="4246" w:type="dxa"/>
            <w:vAlign w:val="center"/>
          </w:tcPr>
          <w:p>
            <w:pPr>
              <w:adjustRightInd w:val="0"/>
              <w:snapToGrid w:val="0"/>
              <w:ind w:hanging="1"/>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其它</w:t>
            </w:r>
          </w:p>
        </w:tc>
        <w:tc>
          <w:tcPr>
            <w:tcW w:w="2412" w:type="dxa"/>
            <w:vAlign w:val="center"/>
          </w:tcPr>
          <w:p>
            <w:pPr>
              <w:adjustRightInd w:val="0"/>
              <w:snapToGrid w:val="0"/>
              <w:ind w:right="105" w:rightChars="5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采购单位未提供需求而投标人认为需说明及补充的内容在此填列</w:t>
            </w: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bl>
    <w:p>
      <w:pPr>
        <w:adjustRightInd w:val="0"/>
        <w:snapToGrid w:val="0"/>
        <w:spacing w:line="360" w:lineRule="auto"/>
        <w:ind w:right="105" w:rightChars="5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填表说明：</w:t>
      </w:r>
    </w:p>
    <w:p>
      <w:pPr>
        <w:adjustRightInd w:val="0"/>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响应文件响应内容”一栏由投标人填写。</w:t>
      </w:r>
    </w:p>
    <w:p>
      <w:pPr>
        <w:adjustRightInd w:val="0"/>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2.“偏离程度”一栏根据“响应文件响应内容”与采购文件逐项对照的结果填写。</w:t>
      </w:r>
      <w:r>
        <w:rPr>
          <w:rFonts w:hint="eastAsia" w:ascii="仿宋_GB2312" w:hAnsi="仿宋_GB2312" w:eastAsia="仿宋_GB2312" w:cs="仿宋_GB2312"/>
          <w:color w:val="000000" w:themeColor="text1"/>
          <w:sz w:val="24"/>
          <w14:textFill>
            <w14:solidFill>
              <w14:schemeClr w14:val="tx1"/>
            </w14:solidFill>
          </w14:textFill>
        </w:rPr>
        <w:t>偏离必须用 “正偏离、负偏离或无偏离”三个名称中的一种进行标注。</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3.“偏离说明”一栏由投标人对偏离的情况做详细说明。</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4.后附投标人</w:t>
      </w:r>
      <w:r>
        <w:rPr>
          <w:rFonts w:hint="eastAsia" w:ascii="仿宋_GB2312" w:hAnsi="仿宋_GB2312" w:eastAsia="仿宋_GB2312" w:cs="仿宋_GB2312"/>
          <w:color w:val="000000" w:themeColor="text1"/>
          <w:sz w:val="24"/>
          <w14:textFill>
            <w14:solidFill>
              <w14:schemeClr w14:val="tx1"/>
            </w14:solidFill>
          </w14:textFill>
        </w:rPr>
        <w:t>“无条件开放接口”的承诺函，见格式14-1。</w:t>
      </w:r>
    </w:p>
    <w:p>
      <w:pPr>
        <w:adjustRightInd w:val="0"/>
        <w:snapToGrid w:val="0"/>
        <w:spacing w:line="360" w:lineRule="auto"/>
        <w:ind w:right="105" w:rightChars="50"/>
        <w:jc w:val="left"/>
        <w:rPr>
          <w:rFonts w:ascii="仿宋_GB2312" w:hAnsi="仿宋_GB2312" w:eastAsia="仿宋_GB2312" w:cs="仿宋_GB2312"/>
          <w:color w:val="000000" w:themeColor="text1"/>
          <w:sz w:val="24"/>
          <w14:textFill>
            <w14:solidFill>
              <w14:schemeClr w14:val="tx1"/>
            </w14:solidFill>
          </w14:textFill>
        </w:rPr>
      </w:pPr>
    </w:p>
    <w:p>
      <w:pPr>
        <w:adjustRightInd w:val="0"/>
        <w:snapToGrid w:val="0"/>
        <w:spacing w:line="360" w:lineRule="auto"/>
        <w:ind w:right="105" w:rightChars="50"/>
        <w:jc w:val="left"/>
        <w:rPr>
          <w:rFonts w:ascii="仿宋_GB2312" w:hAnsi="仿宋_GB2312" w:eastAsia="仿宋_GB2312" w:cs="仿宋_GB2312"/>
          <w:color w:val="000000" w:themeColor="text1"/>
          <w:sz w:val="24"/>
          <w14:textFill>
            <w14:solidFill>
              <w14:schemeClr w14:val="tx1"/>
            </w14:solidFill>
          </w14:textFill>
        </w:rPr>
      </w:pPr>
    </w:p>
    <w:p>
      <w:pPr>
        <w:adjustRightInd w:val="0"/>
        <w:snapToGrid w:val="0"/>
        <w:spacing w:line="360" w:lineRule="auto"/>
        <w:ind w:right="105" w:rightChars="50"/>
        <w:jc w:val="left"/>
        <w:rPr>
          <w:rFonts w:ascii="仿宋_GB2312" w:hAnsi="仿宋_GB2312" w:eastAsia="仿宋_GB2312" w:cs="仿宋_GB2312"/>
          <w:color w:val="000000" w:themeColor="text1"/>
          <w:sz w:val="24"/>
          <w14:textFill>
            <w14:solidFill>
              <w14:schemeClr w14:val="tx1"/>
            </w14:solidFill>
          </w14:textFill>
        </w:rPr>
      </w:pPr>
    </w:p>
    <w:p>
      <w:pPr>
        <w:adjustRightInd w:val="0"/>
        <w:snapToGrid w:val="0"/>
        <w:spacing w:line="360" w:lineRule="auto"/>
        <w:ind w:right="105" w:rightChars="50"/>
        <w:jc w:val="left"/>
        <w:rPr>
          <w:rFonts w:ascii="仿宋_GB2312" w:hAnsi="仿宋_GB2312" w:eastAsia="仿宋_GB2312" w:cs="仿宋_GB2312"/>
          <w:color w:val="000000" w:themeColor="text1"/>
          <w:sz w:val="24"/>
          <w:u w:val="single"/>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投标人名称(加盖单位公章):</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p>
    <w:p>
      <w:pPr>
        <w:adjustRightInd w:val="0"/>
        <w:snapToGrid w:val="0"/>
        <w:spacing w:line="360" w:lineRule="auto"/>
        <w:ind w:right="105" w:rightChars="50"/>
        <w:jc w:val="left"/>
        <w:rPr>
          <w:rFonts w:ascii="仿宋_GB2312" w:hAnsi="仿宋_GB2312" w:eastAsia="仿宋_GB2312" w:cs="仿宋_GB2312"/>
          <w:color w:val="000000" w:themeColor="text1"/>
          <w:sz w:val="24"/>
          <w:u w:val="single"/>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法定代表人（或非法人组织负责人）或其授权委托人(签字或盖章):</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p>
    <w:p>
      <w:pPr>
        <w:pStyle w:val="51"/>
        <w:snapToGrid w:val="0"/>
        <w:spacing w:line="360" w:lineRule="auto"/>
        <w:rPr>
          <w:color w:val="000000" w:themeColor="text1"/>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日      期:</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3"/>
        <w:adjustRightInd w:val="0"/>
        <w:snapToGrid w:val="0"/>
        <w:spacing w:before="0" w:after="0" w:line="240" w:lineRule="auto"/>
        <w:jc w:val="left"/>
        <w:rPr>
          <w:rFonts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格式</w:t>
      </w:r>
      <w:r>
        <w:rPr>
          <w:rFonts w:hint="eastAsia" w:ascii="仿宋_GB2312" w:hAnsi="仿宋" w:eastAsia="仿宋_GB2312" w:cs="仿宋_GB2312"/>
          <w:color w:val="000000" w:themeColor="text1"/>
          <w:szCs w:val="28"/>
          <w14:textFill>
            <w14:solidFill>
              <w14:schemeClr w14:val="tx1"/>
            </w14:solidFill>
          </w14:textFill>
        </w:rPr>
        <w:t>14</w:t>
      </w:r>
    </w:p>
    <w:p>
      <w:pPr>
        <w:spacing w:before="159" w:beforeLines="50" w:after="159" w:afterLines="50" w:line="360" w:lineRule="auto"/>
        <w:jc w:val="center"/>
        <w:rPr>
          <w:rFonts w:ascii="方正小标宋简体" w:hAnsi="仿宋_GB2312" w:eastAsia="方正小标宋简体" w:cs="仿宋_GB2312"/>
          <w:color w:val="000000" w:themeColor="text1"/>
          <w:sz w:val="32"/>
          <w:szCs w:val="32"/>
          <w14:textFill>
            <w14:solidFill>
              <w14:schemeClr w14:val="tx1"/>
            </w14:solidFill>
          </w14:textFill>
        </w:rPr>
      </w:pPr>
      <w:r>
        <w:rPr>
          <w:rFonts w:hint="eastAsia" w:ascii="方正小标宋简体" w:hAnsi="仿宋_GB2312" w:eastAsia="方正小标宋简体" w:cs="仿宋_GB2312"/>
          <w:color w:val="000000" w:themeColor="text1"/>
          <w:sz w:val="32"/>
          <w:szCs w:val="32"/>
          <w14:textFill>
            <w14:solidFill>
              <w14:schemeClr w14:val="tx1"/>
            </w14:solidFill>
          </w14:textFill>
        </w:rPr>
        <w:t>商务条款偏离表</w:t>
      </w:r>
    </w:p>
    <w:p>
      <w:pPr>
        <w:adjustRightInd w:val="0"/>
        <w:snapToGrid w:val="0"/>
        <w:spacing w:line="240" w:lineRule="atLeast"/>
        <w:jc w:val="left"/>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 xml:space="preserve">包号：003     </w:t>
      </w:r>
    </w:p>
    <w:tbl>
      <w:tblPr>
        <w:tblStyle w:val="20"/>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4246"/>
        <w:gridCol w:w="2412"/>
        <w:gridCol w:w="796"/>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03" w:type="dxa"/>
            <w:vAlign w:val="center"/>
          </w:tcPr>
          <w:p>
            <w:pPr>
              <w:adjustRightInd w:val="0"/>
              <w:snapToGrid w:val="0"/>
              <w:ind w:right="-48" w:rightChars="-23"/>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序号</w:t>
            </w:r>
          </w:p>
        </w:tc>
        <w:tc>
          <w:tcPr>
            <w:tcW w:w="4246" w:type="dxa"/>
            <w:vAlign w:val="center"/>
          </w:tcPr>
          <w:p>
            <w:pPr>
              <w:adjustRightInd w:val="0"/>
              <w:snapToGrid w:val="0"/>
              <w:ind w:right="-73" w:rightChars="-35"/>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采购文件的商务条款</w:t>
            </w:r>
          </w:p>
          <w:p>
            <w:pPr>
              <w:adjustRightInd w:val="0"/>
              <w:snapToGrid w:val="0"/>
              <w:ind w:right="-73" w:rightChars="-35"/>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b/>
                <w:color w:val="000000" w:themeColor="text1"/>
                <w:sz w:val="24"/>
                <w14:textFill>
                  <w14:solidFill>
                    <w14:schemeClr w14:val="tx1"/>
                  </w14:solidFill>
                </w14:textFill>
              </w:rPr>
              <w:t>实质性要求及重要指标用★标注，★标注项不得负偏离，如果负偏离，则响应文件无效。</w:t>
            </w:r>
            <w:r>
              <w:rPr>
                <w:rFonts w:hint="eastAsia" w:ascii="仿宋_GB2312" w:hAnsi="仿宋_GB2312" w:eastAsia="仿宋_GB2312" w:cs="仿宋_GB2312"/>
                <w:color w:val="000000" w:themeColor="text1"/>
                <w:sz w:val="24"/>
                <w14:textFill>
                  <w14:solidFill>
                    <w14:schemeClr w14:val="tx1"/>
                  </w14:solidFill>
                </w14:textFill>
              </w:rPr>
              <w:t>）</w:t>
            </w:r>
          </w:p>
        </w:tc>
        <w:tc>
          <w:tcPr>
            <w:tcW w:w="2412" w:type="dxa"/>
            <w:vAlign w:val="center"/>
          </w:tcPr>
          <w:p>
            <w:pPr>
              <w:adjustRightInd w:val="0"/>
              <w:snapToGrid w:val="0"/>
              <w:ind w:right="-107" w:rightChars="-51"/>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响应文件响应内容</w:t>
            </w:r>
          </w:p>
        </w:tc>
        <w:tc>
          <w:tcPr>
            <w:tcW w:w="796" w:type="dxa"/>
            <w:vAlign w:val="center"/>
          </w:tcPr>
          <w:p>
            <w:pPr>
              <w:adjustRightInd w:val="0"/>
              <w:snapToGrid w:val="0"/>
              <w:ind w:right="-107" w:rightChars="-51"/>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偏离</w:t>
            </w:r>
          </w:p>
          <w:p>
            <w:pPr>
              <w:adjustRightInd w:val="0"/>
              <w:snapToGrid w:val="0"/>
              <w:ind w:right="-107" w:rightChars="-51"/>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程度</w:t>
            </w:r>
          </w:p>
        </w:tc>
        <w:tc>
          <w:tcPr>
            <w:tcW w:w="829" w:type="dxa"/>
            <w:vAlign w:val="center"/>
          </w:tcPr>
          <w:p>
            <w:pPr>
              <w:adjustRightInd w:val="0"/>
              <w:snapToGrid w:val="0"/>
              <w:ind w:right="-107" w:rightChars="-51"/>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偏离</w:t>
            </w:r>
          </w:p>
          <w:p>
            <w:pPr>
              <w:adjustRightInd w:val="0"/>
              <w:snapToGrid w:val="0"/>
              <w:ind w:right="-107" w:rightChars="-51"/>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w:t>
            </w:r>
          </w:p>
        </w:tc>
        <w:tc>
          <w:tcPr>
            <w:tcW w:w="4246" w:type="dxa"/>
            <w:vAlign w:val="center"/>
          </w:tcPr>
          <w:p>
            <w:pPr>
              <w:adjustRightInd w:val="0"/>
              <w:snapToGrid w:val="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_GB2312" w:eastAsia="仿宋_GB2312" w:cs="仿宋_GB2312"/>
                <w:bCs/>
                <w:color w:val="000000" w:themeColor="text1"/>
                <w:sz w:val="24"/>
                <w14:textFill>
                  <w14:solidFill>
                    <w14:schemeClr w14:val="tx1"/>
                  </w14:solidFill>
                </w14:textFill>
              </w:rPr>
              <w:t>履约期限：</w:t>
            </w:r>
            <w:r>
              <w:rPr>
                <w:rFonts w:hint="eastAsia" w:ascii="仿宋_GB2312" w:hAnsi="仿宋" w:eastAsia="仿宋_GB2312" w:cs="仿宋_GB2312"/>
                <w:color w:val="000000" w:themeColor="text1"/>
                <w:sz w:val="24"/>
                <w14:textFill>
                  <w14:solidFill>
                    <w14:schemeClr w14:val="tx1"/>
                  </w14:solidFill>
                </w14:textFill>
              </w:rPr>
              <w:t>本项目要求2023年12月31日前完成项目建设内容。</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w:t>
            </w:r>
          </w:p>
        </w:tc>
        <w:tc>
          <w:tcPr>
            <w:tcW w:w="4246" w:type="dxa"/>
            <w:vAlign w:val="center"/>
          </w:tcPr>
          <w:p>
            <w:pPr>
              <w:adjustRightInd w:val="0"/>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履约地点：辽宁省住房和城乡建设厅指定地点。</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w:t>
            </w:r>
          </w:p>
        </w:tc>
        <w:tc>
          <w:tcPr>
            <w:tcW w:w="4246" w:type="dxa"/>
            <w:vAlign w:val="center"/>
          </w:tcPr>
          <w:p>
            <w:pPr>
              <w:adjustRightInd w:val="0"/>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付款方式及条件：合同签订后，支付至合同总额的</w:t>
            </w:r>
            <w:r>
              <w:rPr>
                <w:rFonts w:ascii="仿宋_GB2312" w:hAnsi="仿宋_GB2312" w:eastAsia="仿宋_GB2312" w:cs="仿宋_GB2312"/>
                <w:color w:val="000000" w:themeColor="text1"/>
                <w:sz w:val="24"/>
                <w14:textFill>
                  <w14:solidFill>
                    <w14:schemeClr w14:val="tx1"/>
                  </w14:solidFill>
                </w14:textFill>
              </w:rPr>
              <w:t>35</w:t>
            </w:r>
            <w:r>
              <w:rPr>
                <w:rFonts w:hint="eastAsia" w:ascii="仿宋_GB2312" w:hAnsi="仿宋_GB2312" w:eastAsia="仿宋_GB2312" w:cs="仿宋_GB2312"/>
                <w:color w:val="000000" w:themeColor="text1"/>
                <w:sz w:val="24"/>
                <w14:textFill>
                  <w14:solidFill>
                    <w14:schemeClr w14:val="tx1"/>
                  </w14:solidFill>
                </w14:textFill>
              </w:rPr>
              <w:t>%作为项目预付款；项目初验通过后，支付至合同总额的</w:t>
            </w:r>
            <w:r>
              <w:rPr>
                <w:rFonts w:ascii="仿宋_GB2312" w:hAnsi="仿宋_GB2312" w:eastAsia="仿宋_GB2312" w:cs="仿宋_GB2312"/>
                <w:color w:val="000000" w:themeColor="text1"/>
                <w:sz w:val="24"/>
                <w14:textFill>
                  <w14:solidFill>
                    <w14:schemeClr w14:val="tx1"/>
                  </w14:solidFill>
                </w14:textFill>
              </w:rPr>
              <w:t>70</w:t>
            </w:r>
            <w:r>
              <w:rPr>
                <w:rFonts w:hint="eastAsia" w:ascii="仿宋_GB2312" w:hAnsi="仿宋_GB2312" w:eastAsia="仿宋_GB2312" w:cs="仿宋_GB2312"/>
                <w:color w:val="000000" w:themeColor="text1"/>
                <w:sz w:val="24"/>
                <w14:textFill>
                  <w14:solidFill>
                    <w14:schemeClr w14:val="tx1"/>
                  </w14:solidFill>
                </w14:textFill>
              </w:rPr>
              <w:t>%；项目终验通过后，完成项目移交，支付至合同总额的100%。（具体支付时间以财政支付进度为准）</w:t>
            </w:r>
          </w:p>
          <w:p>
            <w:pPr>
              <w:adjustRightInd w:val="0"/>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注：付款同时须按采购人要求提供相应发票。</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w:t>
            </w:r>
          </w:p>
        </w:tc>
        <w:tc>
          <w:tcPr>
            <w:tcW w:w="4246" w:type="dxa"/>
            <w:vAlign w:val="center"/>
          </w:tcPr>
          <w:p>
            <w:pPr>
              <w:adjustRightInd w:val="0"/>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运维服务期限：各包组及其业务交叉部分，由实际负责建设的中标人负责运维服务，运维服务期限统一均为合同签订之日起三年。</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03" w:type="dxa"/>
            <w:vAlign w:val="center"/>
          </w:tcPr>
          <w:p>
            <w:pPr>
              <w:adjustRightInd w:val="0"/>
              <w:snapToGrid w:val="0"/>
              <w:ind w:right="105" w:rightChars="50"/>
              <w:jc w:val="center"/>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5</w:t>
            </w:r>
          </w:p>
        </w:tc>
        <w:tc>
          <w:tcPr>
            <w:tcW w:w="4246" w:type="dxa"/>
            <w:vAlign w:val="center"/>
          </w:tcPr>
          <w:p>
            <w:pPr>
              <w:adjustRightInd w:val="0"/>
              <w:snapToGrid w:val="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w:t>
            </w:r>
            <w:r>
              <w:rPr>
                <w:rFonts w:hint="eastAsia" w:ascii="仿宋_GB2312" w:hAnsi="仿宋_GB2312" w:eastAsia="仿宋_GB2312" w:cs="仿宋_GB2312"/>
                <w:b/>
                <w:bCs/>
                <w:color w:val="000000" w:themeColor="text1"/>
                <w:sz w:val="24"/>
                <w14:textFill>
                  <w14:solidFill>
                    <w14:schemeClr w14:val="tx1"/>
                  </w14:solidFill>
                </w14:textFill>
              </w:rPr>
              <w:t>投标人提供“无条件开放接口”的承诺函（见格式14-1）。</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w:t>
            </w:r>
          </w:p>
        </w:tc>
        <w:tc>
          <w:tcPr>
            <w:tcW w:w="4246" w:type="dxa"/>
            <w:vAlign w:val="center"/>
          </w:tcPr>
          <w:p>
            <w:pPr>
              <w:adjustRightInd w:val="0"/>
              <w:snapToGrid w:val="0"/>
              <w:ind w:hanging="1"/>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 w:eastAsia="仿宋_GB2312" w:cs="仿宋_GB2312"/>
                <w:color w:val="000000" w:themeColor="text1"/>
                <w:sz w:val="24"/>
                <w14:textFill>
                  <w14:solidFill>
                    <w14:schemeClr w14:val="tx1"/>
                  </w14:solidFill>
                </w14:textFill>
              </w:rPr>
              <w:t>热线支持：7*24小时的日常运维服务、技术专家远程支持、定期提供安全巡检报告、技术咨询服务等；</w:t>
            </w:r>
          </w:p>
          <w:p>
            <w:pPr>
              <w:adjustRightInd w:val="0"/>
              <w:snapToGrid w:val="0"/>
              <w:rPr>
                <w:rFonts w:ascii="仿宋_GB2312" w:hAnsi="仿宋" w:eastAsia="仿宋_GB2312" w:cs="仿宋_GB2312"/>
                <w:b/>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 w:eastAsia="仿宋_GB2312" w:cs="仿宋_GB2312"/>
                <w:color w:val="000000" w:themeColor="text1"/>
                <w:sz w:val="24"/>
                <w14:textFill>
                  <w14:solidFill>
                    <w14:schemeClr w14:val="tx1"/>
                  </w14:solidFill>
                </w14:textFill>
              </w:rPr>
              <w:t>现场支持：</w:t>
            </w:r>
            <w:r>
              <w:rPr>
                <w:rFonts w:ascii="仿宋_GB2312" w:hAnsi="仿宋" w:eastAsia="仿宋_GB2312" w:cs="仿宋_GB2312"/>
                <w:color w:val="000000" w:themeColor="text1"/>
                <w:sz w:val="24"/>
                <w:lang w:val="en"/>
                <w14:textFill>
                  <w14:solidFill>
                    <w14:schemeClr w14:val="tx1"/>
                  </w14:solidFill>
                </w14:textFill>
              </w:rPr>
              <w:t>2</w:t>
            </w:r>
            <w:r>
              <w:rPr>
                <w:rFonts w:hint="eastAsia" w:ascii="仿宋_GB2312" w:hAnsi="仿宋" w:eastAsia="仿宋_GB2312" w:cs="仿宋_GB2312"/>
                <w:color w:val="000000" w:themeColor="text1"/>
                <w:sz w:val="24"/>
                <w14:textFill>
                  <w14:solidFill>
                    <w14:schemeClr w14:val="tx1"/>
                  </w14:solidFill>
                </w14:textFill>
              </w:rPr>
              <w:t>小时内响应，4小时内到达，</w:t>
            </w:r>
            <w:r>
              <w:rPr>
                <w:rFonts w:hint="eastAsia" w:ascii="仿宋_GB2312" w:hAnsi="宋体" w:eastAsia="仿宋_GB2312" w:cs="仿宋_GB2312"/>
                <w:color w:val="000000" w:themeColor="text1"/>
                <w:sz w:val="24"/>
                <w14:textFill>
                  <w14:solidFill>
                    <w14:schemeClr w14:val="tx1"/>
                  </w14:solidFill>
                </w14:textFill>
              </w:rPr>
              <w:t>4小时以内解决问题</w:t>
            </w: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b/>
                <w:bCs/>
                <w:color w:val="000000" w:themeColor="text1"/>
                <w:sz w:val="24"/>
                <w14:textFill>
                  <w14:solidFill>
                    <w14:schemeClr w14:val="tx1"/>
                  </w14:solidFill>
                </w14:textFill>
              </w:rPr>
              <w:t>（此处应与评分细则中承诺售后服务响应时间一致）</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w:t>
            </w:r>
          </w:p>
        </w:tc>
        <w:tc>
          <w:tcPr>
            <w:tcW w:w="4246" w:type="dxa"/>
            <w:vAlign w:val="center"/>
          </w:tcPr>
          <w:p>
            <w:pPr>
              <w:adjustRightInd w:val="0"/>
              <w:snapToGrid w:val="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 w:eastAsia="仿宋_GB2312" w:cs="仿宋_GB2312"/>
                <w:color w:val="000000" w:themeColor="text1"/>
                <w:sz w:val="24"/>
                <w14:textFill>
                  <w14:solidFill>
                    <w14:schemeClr w14:val="tx1"/>
                  </w14:solidFill>
                </w14:textFill>
              </w:rPr>
              <w:t>验收标准、验收程序、验收报告：本项目将严格按照政府采购相关法律法规以及《辽宁省政府采购履约验收管理办法》（辽财采〔2017〕603号）的要求进行验收。</w:t>
            </w:r>
          </w:p>
          <w:p>
            <w:pPr>
              <w:adjustRightInd w:val="0"/>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组织验收主体：本项目的履约验收工作由采购人依法组织实施。</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8</w:t>
            </w:r>
          </w:p>
        </w:tc>
        <w:tc>
          <w:tcPr>
            <w:tcW w:w="4246" w:type="dxa"/>
            <w:vAlign w:val="center"/>
          </w:tcPr>
          <w:p>
            <w:pPr>
              <w:rPr>
                <w:color w:val="000000" w:themeColor="text1"/>
                <w:szCs w:val="21"/>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 w:eastAsia="仿宋_GB2312"/>
                <w:color w:val="000000" w:themeColor="text1"/>
                <w:sz w:val="24"/>
                <w14:textFill>
                  <w14:solidFill>
                    <w14:schemeClr w14:val="tx1"/>
                  </w14:solidFill>
                </w14:textFill>
              </w:rPr>
              <w:t>现场培训（操作、维护等）：为采购人提供免费的现场培训。培训内容包括但不限于系统使用方法和技巧、故障诊断、维护管理等方面。使受训者能够独立、熟练的完成操作。</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9</w:t>
            </w:r>
          </w:p>
        </w:tc>
        <w:tc>
          <w:tcPr>
            <w:tcW w:w="4246" w:type="dxa"/>
            <w:vAlign w:val="center"/>
          </w:tcPr>
          <w:p>
            <w:pPr>
              <w:adjustRightInd w:val="0"/>
              <w:snapToGrid w:val="0"/>
              <w:ind w:hanging="1"/>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其它</w:t>
            </w:r>
          </w:p>
        </w:tc>
        <w:tc>
          <w:tcPr>
            <w:tcW w:w="2412" w:type="dxa"/>
            <w:vAlign w:val="center"/>
          </w:tcPr>
          <w:p>
            <w:pPr>
              <w:adjustRightInd w:val="0"/>
              <w:snapToGrid w:val="0"/>
              <w:ind w:right="105" w:rightChars="5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采购单位未提供需求而投标人认为需说明及补充的内容在此填列</w:t>
            </w: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bl>
    <w:p>
      <w:pPr>
        <w:adjustRightInd w:val="0"/>
        <w:snapToGrid w:val="0"/>
        <w:spacing w:line="360" w:lineRule="auto"/>
        <w:ind w:right="105" w:rightChars="5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填表说明：</w:t>
      </w:r>
    </w:p>
    <w:p>
      <w:pPr>
        <w:adjustRightInd w:val="0"/>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响应文件响应内容”一栏由投标人填写。</w:t>
      </w:r>
    </w:p>
    <w:p>
      <w:pPr>
        <w:adjustRightInd w:val="0"/>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2.“偏离程度”一栏根据“响应文件响应内容”与采购文件逐项对照的结果填写。</w:t>
      </w:r>
      <w:r>
        <w:rPr>
          <w:rFonts w:hint="eastAsia" w:ascii="仿宋_GB2312" w:hAnsi="仿宋_GB2312" w:eastAsia="仿宋_GB2312" w:cs="仿宋_GB2312"/>
          <w:color w:val="000000" w:themeColor="text1"/>
          <w:sz w:val="24"/>
          <w14:textFill>
            <w14:solidFill>
              <w14:schemeClr w14:val="tx1"/>
            </w14:solidFill>
          </w14:textFill>
        </w:rPr>
        <w:t>偏离必须用 “正偏离、负偏离或无偏离”三个名称中的一种进行标注。</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3.“偏离说明”一栏由投标人对偏离的情况做详细说明。</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4.后附投标人</w:t>
      </w:r>
      <w:r>
        <w:rPr>
          <w:rFonts w:hint="eastAsia" w:ascii="仿宋_GB2312" w:hAnsi="仿宋_GB2312" w:eastAsia="仿宋_GB2312" w:cs="仿宋_GB2312"/>
          <w:color w:val="000000" w:themeColor="text1"/>
          <w:sz w:val="24"/>
          <w14:textFill>
            <w14:solidFill>
              <w14:schemeClr w14:val="tx1"/>
            </w14:solidFill>
          </w14:textFill>
        </w:rPr>
        <w:t>“无条件开放接口”的承诺函，见格式14-1。</w:t>
      </w:r>
    </w:p>
    <w:p>
      <w:pPr>
        <w:adjustRightInd w:val="0"/>
        <w:snapToGrid w:val="0"/>
        <w:spacing w:line="360" w:lineRule="auto"/>
        <w:ind w:right="105" w:rightChars="50"/>
        <w:jc w:val="left"/>
        <w:rPr>
          <w:rFonts w:ascii="仿宋_GB2312" w:hAnsi="仿宋_GB2312" w:eastAsia="仿宋_GB2312" w:cs="仿宋_GB2312"/>
          <w:color w:val="000000" w:themeColor="text1"/>
          <w:sz w:val="24"/>
          <w14:textFill>
            <w14:solidFill>
              <w14:schemeClr w14:val="tx1"/>
            </w14:solidFill>
          </w14:textFill>
        </w:rPr>
      </w:pPr>
    </w:p>
    <w:p>
      <w:pPr>
        <w:adjustRightInd w:val="0"/>
        <w:snapToGrid w:val="0"/>
        <w:spacing w:line="360" w:lineRule="auto"/>
        <w:ind w:right="105" w:rightChars="50"/>
        <w:jc w:val="left"/>
        <w:rPr>
          <w:rFonts w:ascii="仿宋_GB2312" w:hAnsi="仿宋_GB2312" w:eastAsia="仿宋_GB2312" w:cs="仿宋_GB2312"/>
          <w:color w:val="000000" w:themeColor="text1"/>
          <w:sz w:val="24"/>
          <w14:textFill>
            <w14:solidFill>
              <w14:schemeClr w14:val="tx1"/>
            </w14:solidFill>
          </w14:textFill>
        </w:rPr>
      </w:pPr>
    </w:p>
    <w:p>
      <w:pPr>
        <w:adjustRightInd w:val="0"/>
        <w:snapToGrid w:val="0"/>
        <w:spacing w:line="360" w:lineRule="auto"/>
        <w:ind w:right="105" w:rightChars="50"/>
        <w:jc w:val="left"/>
        <w:rPr>
          <w:rFonts w:ascii="仿宋_GB2312" w:hAnsi="仿宋_GB2312" w:eastAsia="仿宋_GB2312" w:cs="仿宋_GB2312"/>
          <w:color w:val="000000" w:themeColor="text1"/>
          <w:sz w:val="24"/>
          <w14:textFill>
            <w14:solidFill>
              <w14:schemeClr w14:val="tx1"/>
            </w14:solidFill>
          </w14:textFill>
        </w:rPr>
      </w:pPr>
    </w:p>
    <w:p>
      <w:pPr>
        <w:adjustRightInd w:val="0"/>
        <w:snapToGrid w:val="0"/>
        <w:spacing w:line="360" w:lineRule="auto"/>
        <w:ind w:right="105" w:rightChars="50"/>
        <w:jc w:val="left"/>
        <w:rPr>
          <w:rFonts w:ascii="仿宋_GB2312" w:hAnsi="仿宋_GB2312" w:eastAsia="仿宋_GB2312" w:cs="仿宋_GB2312"/>
          <w:color w:val="000000" w:themeColor="text1"/>
          <w:sz w:val="24"/>
          <w:u w:val="single"/>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投标人名称(加盖单位公章):</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p>
    <w:p>
      <w:pPr>
        <w:adjustRightInd w:val="0"/>
        <w:snapToGrid w:val="0"/>
        <w:spacing w:line="360" w:lineRule="auto"/>
        <w:ind w:right="105" w:rightChars="50"/>
        <w:jc w:val="left"/>
        <w:rPr>
          <w:rFonts w:ascii="仿宋_GB2312" w:hAnsi="仿宋_GB2312" w:eastAsia="仿宋_GB2312" w:cs="仿宋_GB2312"/>
          <w:color w:val="000000" w:themeColor="text1"/>
          <w:sz w:val="24"/>
          <w:u w:val="single"/>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法定代表人（或非法人组织负责人）或其授权委托人(签字或盖章):</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p>
    <w:p>
      <w:pPr>
        <w:pStyle w:val="51"/>
        <w:snapToGrid w:val="0"/>
        <w:spacing w:line="360" w:lineRule="auto"/>
        <w:rPr>
          <w:color w:val="000000" w:themeColor="text1"/>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日      期:</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3"/>
        <w:adjustRightInd w:val="0"/>
        <w:snapToGrid w:val="0"/>
        <w:spacing w:before="0" w:after="0" w:line="240" w:lineRule="auto"/>
        <w:jc w:val="left"/>
        <w:rPr>
          <w:rFonts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格式</w:t>
      </w:r>
      <w:r>
        <w:rPr>
          <w:rFonts w:hint="eastAsia" w:ascii="仿宋_GB2312" w:hAnsi="仿宋" w:eastAsia="仿宋_GB2312" w:cs="仿宋_GB2312"/>
          <w:color w:val="000000" w:themeColor="text1"/>
          <w:szCs w:val="28"/>
          <w14:textFill>
            <w14:solidFill>
              <w14:schemeClr w14:val="tx1"/>
            </w14:solidFill>
          </w14:textFill>
        </w:rPr>
        <w:t>14</w:t>
      </w:r>
    </w:p>
    <w:p>
      <w:pPr>
        <w:spacing w:before="159" w:beforeLines="50" w:line="360" w:lineRule="auto"/>
        <w:jc w:val="center"/>
        <w:rPr>
          <w:rFonts w:ascii="方正小标宋简体" w:hAnsi="仿宋_GB2312" w:eastAsia="方正小标宋简体" w:cs="仿宋_GB2312"/>
          <w:color w:val="000000" w:themeColor="text1"/>
          <w:sz w:val="32"/>
          <w:szCs w:val="32"/>
          <w14:textFill>
            <w14:solidFill>
              <w14:schemeClr w14:val="tx1"/>
            </w14:solidFill>
          </w14:textFill>
        </w:rPr>
      </w:pPr>
      <w:r>
        <w:rPr>
          <w:rFonts w:hint="eastAsia" w:ascii="方正小标宋简体" w:hAnsi="仿宋_GB2312" w:eastAsia="方正小标宋简体" w:cs="仿宋_GB2312"/>
          <w:color w:val="000000" w:themeColor="text1"/>
          <w:sz w:val="32"/>
          <w:szCs w:val="32"/>
          <w14:textFill>
            <w14:solidFill>
              <w14:schemeClr w14:val="tx1"/>
            </w14:solidFill>
          </w14:textFill>
        </w:rPr>
        <w:t>商务条款偏离表</w:t>
      </w:r>
    </w:p>
    <w:p>
      <w:pPr>
        <w:adjustRightInd w:val="0"/>
        <w:snapToGrid w:val="0"/>
        <w:spacing w:line="240" w:lineRule="atLeast"/>
        <w:jc w:val="left"/>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 xml:space="preserve">包号：004     </w:t>
      </w:r>
    </w:p>
    <w:tbl>
      <w:tblPr>
        <w:tblStyle w:val="20"/>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4246"/>
        <w:gridCol w:w="2412"/>
        <w:gridCol w:w="796"/>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03" w:type="dxa"/>
            <w:vAlign w:val="center"/>
          </w:tcPr>
          <w:p>
            <w:pPr>
              <w:adjustRightInd w:val="0"/>
              <w:snapToGrid w:val="0"/>
              <w:ind w:right="-48" w:rightChars="-23"/>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序号</w:t>
            </w:r>
          </w:p>
        </w:tc>
        <w:tc>
          <w:tcPr>
            <w:tcW w:w="4246" w:type="dxa"/>
            <w:vAlign w:val="center"/>
          </w:tcPr>
          <w:p>
            <w:pPr>
              <w:adjustRightInd w:val="0"/>
              <w:snapToGrid w:val="0"/>
              <w:ind w:right="-73" w:rightChars="-35"/>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采购文件的商务条款</w:t>
            </w:r>
          </w:p>
          <w:p>
            <w:pPr>
              <w:adjustRightInd w:val="0"/>
              <w:snapToGrid w:val="0"/>
              <w:ind w:right="-73" w:rightChars="-35"/>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b/>
                <w:color w:val="000000" w:themeColor="text1"/>
                <w:sz w:val="24"/>
                <w14:textFill>
                  <w14:solidFill>
                    <w14:schemeClr w14:val="tx1"/>
                  </w14:solidFill>
                </w14:textFill>
              </w:rPr>
              <w:t>实质性要求及重要指标用★标注，★标注项不得负偏离，如果负偏离，则响应文件无效。</w:t>
            </w:r>
            <w:r>
              <w:rPr>
                <w:rFonts w:hint="eastAsia" w:ascii="仿宋_GB2312" w:hAnsi="仿宋_GB2312" w:eastAsia="仿宋_GB2312" w:cs="仿宋_GB2312"/>
                <w:color w:val="000000" w:themeColor="text1"/>
                <w:sz w:val="24"/>
                <w14:textFill>
                  <w14:solidFill>
                    <w14:schemeClr w14:val="tx1"/>
                  </w14:solidFill>
                </w14:textFill>
              </w:rPr>
              <w:t>）</w:t>
            </w:r>
          </w:p>
        </w:tc>
        <w:tc>
          <w:tcPr>
            <w:tcW w:w="2412" w:type="dxa"/>
            <w:vAlign w:val="center"/>
          </w:tcPr>
          <w:p>
            <w:pPr>
              <w:adjustRightInd w:val="0"/>
              <w:snapToGrid w:val="0"/>
              <w:ind w:right="-107" w:rightChars="-51"/>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响应文件响应内容</w:t>
            </w:r>
          </w:p>
        </w:tc>
        <w:tc>
          <w:tcPr>
            <w:tcW w:w="796" w:type="dxa"/>
            <w:vAlign w:val="center"/>
          </w:tcPr>
          <w:p>
            <w:pPr>
              <w:adjustRightInd w:val="0"/>
              <w:snapToGrid w:val="0"/>
              <w:ind w:right="-107" w:rightChars="-51"/>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偏离</w:t>
            </w:r>
          </w:p>
          <w:p>
            <w:pPr>
              <w:adjustRightInd w:val="0"/>
              <w:snapToGrid w:val="0"/>
              <w:ind w:right="-107" w:rightChars="-51"/>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程度</w:t>
            </w:r>
          </w:p>
        </w:tc>
        <w:tc>
          <w:tcPr>
            <w:tcW w:w="829" w:type="dxa"/>
            <w:vAlign w:val="center"/>
          </w:tcPr>
          <w:p>
            <w:pPr>
              <w:adjustRightInd w:val="0"/>
              <w:snapToGrid w:val="0"/>
              <w:ind w:right="-107" w:rightChars="-51"/>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偏离</w:t>
            </w:r>
          </w:p>
          <w:p>
            <w:pPr>
              <w:adjustRightInd w:val="0"/>
              <w:snapToGrid w:val="0"/>
              <w:ind w:right="-107" w:rightChars="-51"/>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w:t>
            </w:r>
          </w:p>
        </w:tc>
        <w:tc>
          <w:tcPr>
            <w:tcW w:w="4246" w:type="dxa"/>
            <w:vAlign w:val="center"/>
          </w:tcPr>
          <w:p>
            <w:pPr>
              <w:adjustRightInd w:val="0"/>
              <w:snapToGrid w:val="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_GB2312" w:eastAsia="仿宋_GB2312" w:cs="仿宋_GB2312"/>
                <w:bCs/>
                <w:color w:val="000000" w:themeColor="text1"/>
                <w:sz w:val="24"/>
                <w14:textFill>
                  <w14:solidFill>
                    <w14:schemeClr w14:val="tx1"/>
                  </w14:solidFill>
                </w14:textFill>
              </w:rPr>
              <w:t>履约期限：合同签订之日起至项目验收通过之日止。</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w:t>
            </w:r>
          </w:p>
        </w:tc>
        <w:tc>
          <w:tcPr>
            <w:tcW w:w="4246" w:type="dxa"/>
            <w:vAlign w:val="center"/>
          </w:tcPr>
          <w:p>
            <w:pPr>
              <w:adjustRightInd w:val="0"/>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履约地点：辽宁省住房和城乡建设厅指定地点。</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w:t>
            </w:r>
          </w:p>
        </w:tc>
        <w:tc>
          <w:tcPr>
            <w:tcW w:w="4246" w:type="dxa"/>
            <w:vAlign w:val="center"/>
          </w:tcPr>
          <w:p>
            <w:pPr>
              <w:adjustRightInd w:val="0"/>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付款方式及条件：项目建设完成，验收通过后支付100%。</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w:t>
            </w:r>
          </w:p>
        </w:tc>
        <w:tc>
          <w:tcPr>
            <w:tcW w:w="4246" w:type="dxa"/>
            <w:vAlign w:val="center"/>
          </w:tcPr>
          <w:p>
            <w:pPr>
              <w:adjustRightInd w:val="0"/>
              <w:snapToGrid w:val="0"/>
              <w:ind w:hanging="1"/>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 w:eastAsia="仿宋_GB2312" w:cs="仿宋_GB2312"/>
                <w:color w:val="000000" w:themeColor="text1"/>
                <w:sz w:val="24"/>
                <w14:textFill>
                  <w14:solidFill>
                    <w14:schemeClr w14:val="tx1"/>
                  </w14:solidFill>
                </w14:textFill>
              </w:rPr>
              <w:t>热线支持：7*24小时的日常运维服务、技术专家远程支持、定期提供安全巡检报告、技术咨询服务等；</w:t>
            </w:r>
          </w:p>
          <w:p>
            <w:pPr>
              <w:adjustRightInd w:val="0"/>
              <w:snapToGrid w:val="0"/>
              <w:rPr>
                <w:rFonts w:ascii="仿宋_GB2312" w:hAnsi="仿宋" w:eastAsia="仿宋_GB2312" w:cs="仿宋_GB2312"/>
                <w:b/>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 w:eastAsia="仿宋_GB2312" w:cs="仿宋_GB2312"/>
                <w:color w:val="000000" w:themeColor="text1"/>
                <w:sz w:val="24"/>
                <w14:textFill>
                  <w14:solidFill>
                    <w14:schemeClr w14:val="tx1"/>
                  </w14:solidFill>
                </w14:textFill>
              </w:rPr>
              <w:t>现场支持：0.25小时内响应；1小时内到达。</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w:t>
            </w:r>
          </w:p>
        </w:tc>
        <w:tc>
          <w:tcPr>
            <w:tcW w:w="4246" w:type="dxa"/>
            <w:vAlign w:val="center"/>
          </w:tcPr>
          <w:p>
            <w:pPr>
              <w:adjustRightInd w:val="0"/>
              <w:snapToGrid w:val="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w:t>
            </w:r>
            <w:r>
              <w:rPr>
                <w:rFonts w:hint="eastAsia" w:ascii="仿宋_GB2312" w:hAnsi="仿宋" w:eastAsia="仿宋_GB2312" w:cs="仿宋_GB2312"/>
                <w:color w:val="000000" w:themeColor="text1"/>
                <w:sz w:val="24"/>
                <w14:textFill>
                  <w14:solidFill>
                    <w14:schemeClr w14:val="tx1"/>
                  </w14:solidFill>
                </w14:textFill>
              </w:rPr>
              <w:t>验收标准、验收程序、验收报告：本项目将严格按照政府采购相关法律法规以及《辽宁省政府采购履约验收管理办法》（辽财采〔2017〕603号）的要求进行验收。</w:t>
            </w:r>
          </w:p>
          <w:p>
            <w:pPr>
              <w:adjustRightInd w:val="0"/>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组织验收主体：本项目的履约验收工作由采购人依法组织实施。</w:t>
            </w:r>
          </w:p>
        </w:tc>
        <w:tc>
          <w:tcPr>
            <w:tcW w:w="2412"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03" w:type="dxa"/>
            <w:vAlign w:val="center"/>
          </w:tcPr>
          <w:p>
            <w:pPr>
              <w:adjustRightInd w:val="0"/>
              <w:snapToGrid w:val="0"/>
              <w:ind w:right="105" w:rightChars="50"/>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w:t>
            </w:r>
          </w:p>
        </w:tc>
        <w:tc>
          <w:tcPr>
            <w:tcW w:w="4246" w:type="dxa"/>
            <w:vAlign w:val="center"/>
          </w:tcPr>
          <w:p>
            <w:pPr>
              <w:adjustRightInd w:val="0"/>
              <w:snapToGrid w:val="0"/>
              <w:ind w:hanging="1"/>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其它</w:t>
            </w:r>
          </w:p>
        </w:tc>
        <w:tc>
          <w:tcPr>
            <w:tcW w:w="2412" w:type="dxa"/>
            <w:vAlign w:val="center"/>
          </w:tcPr>
          <w:p>
            <w:pPr>
              <w:adjustRightInd w:val="0"/>
              <w:snapToGrid w:val="0"/>
              <w:ind w:right="105" w:rightChars="5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采购单位未提供需求而投标人认为需说明及补充的内容在此填列</w:t>
            </w:r>
          </w:p>
        </w:tc>
        <w:tc>
          <w:tcPr>
            <w:tcW w:w="796"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c>
          <w:tcPr>
            <w:tcW w:w="829" w:type="dxa"/>
            <w:vAlign w:val="center"/>
          </w:tcPr>
          <w:p>
            <w:pPr>
              <w:adjustRightInd w:val="0"/>
              <w:snapToGrid w:val="0"/>
              <w:ind w:right="105" w:rightChars="50"/>
              <w:jc w:val="center"/>
              <w:rPr>
                <w:rFonts w:ascii="仿宋_GB2312" w:hAnsi="仿宋_GB2312" w:eastAsia="仿宋_GB2312" w:cs="仿宋_GB2312"/>
                <w:color w:val="000000" w:themeColor="text1"/>
                <w:sz w:val="24"/>
                <w14:textFill>
                  <w14:solidFill>
                    <w14:schemeClr w14:val="tx1"/>
                  </w14:solidFill>
                </w14:textFill>
              </w:rPr>
            </w:pPr>
          </w:p>
        </w:tc>
      </w:tr>
    </w:tbl>
    <w:p>
      <w:pPr>
        <w:adjustRightInd w:val="0"/>
        <w:snapToGrid w:val="0"/>
        <w:ind w:right="105" w:rightChars="5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填表说明：</w:t>
      </w:r>
    </w:p>
    <w:p>
      <w:pPr>
        <w:adjustRightInd w:val="0"/>
        <w:snapToGrid w:val="0"/>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响应文件响应内容”一栏由投标人填写。</w:t>
      </w:r>
    </w:p>
    <w:p>
      <w:pPr>
        <w:adjustRightInd w:val="0"/>
        <w:snapToGrid w:val="0"/>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2.“偏离程度”一栏根据“响应文件响应内容”与采购文件逐项对照的结果填写。</w:t>
      </w:r>
      <w:r>
        <w:rPr>
          <w:rFonts w:hint="eastAsia" w:ascii="仿宋_GB2312" w:hAnsi="仿宋_GB2312" w:eastAsia="仿宋_GB2312" w:cs="仿宋_GB2312"/>
          <w:color w:val="000000" w:themeColor="text1"/>
          <w:sz w:val="24"/>
          <w14:textFill>
            <w14:solidFill>
              <w14:schemeClr w14:val="tx1"/>
            </w14:solidFill>
          </w14:textFill>
        </w:rPr>
        <w:t>偏离必须用 “正偏离、负偏离或无偏离”三个名称中的一种进行标注。</w:t>
      </w:r>
    </w:p>
    <w:p>
      <w:pPr>
        <w:adjustRightInd w:val="0"/>
        <w:snapToGrid w:val="0"/>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3.“偏离说明”一栏由投标人对偏离的情况做详细说明。</w:t>
      </w:r>
    </w:p>
    <w:p>
      <w:pPr>
        <w:adjustRightInd w:val="0"/>
        <w:snapToGrid w:val="0"/>
        <w:spacing w:line="360" w:lineRule="auto"/>
        <w:ind w:right="105" w:rightChars="50"/>
        <w:jc w:val="left"/>
        <w:rPr>
          <w:rFonts w:ascii="仿宋_GB2312" w:hAnsi="仿宋_GB2312" w:eastAsia="仿宋_GB2312" w:cs="仿宋_GB2312"/>
          <w:color w:val="000000" w:themeColor="text1"/>
          <w:sz w:val="24"/>
          <w14:textFill>
            <w14:solidFill>
              <w14:schemeClr w14:val="tx1"/>
            </w14:solidFill>
          </w14:textFill>
        </w:rPr>
      </w:pPr>
    </w:p>
    <w:p>
      <w:pPr>
        <w:adjustRightInd w:val="0"/>
        <w:snapToGrid w:val="0"/>
        <w:spacing w:line="360" w:lineRule="auto"/>
        <w:ind w:right="105" w:rightChars="50"/>
        <w:jc w:val="left"/>
        <w:rPr>
          <w:rFonts w:ascii="仿宋_GB2312" w:hAnsi="仿宋_GB2312" w:eastAsia="仿宋_GB2312" w:cs="仿宋_GB2312"/>
          <w:color w:val="000000" w:themeColor="text1"/>
          <w:sz w:val="24"/>
          <w:u w:val="single"/>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投标人名称(加盖单位公章):</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p>
    <w:p>
      <w:pPr>
        <w:adjustRightInd w:val="0"/>
        <w:snapToGrid w:val="0"/>
        <w:spacing w:line="360" w:lineRule="auto"/>
        <w:ind w:right="105" w:rightChars="50"/>
        <w:jc w:val="left"/>
        <w:rPr>
          <w:rFonts w:ascii="仿宋_GB2312" w:hAnsi="仿宋_GB2312" w:eastAsia="仿宋_GB2312" w:cs="仿宋_GB2312"/>
          <w:color w:val="000000" w:themeColor="text1"/>
          <w:sz w:val="24"/>
          <w:u w:val="single"/>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法定代表人（或非法人组织负责人）或其授权委托人(签字或盖章):</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p>
    <w:p>
      <w:pPr>
        <w:pStyle w:val="51"/>
        <w:snapToGrid w:val="0"/>
        <w:spacing w:line="360" w:lineRule="auto"/>
        <w:rPr>
          <w:rFonts w:ascii="仿宋_GB2312" w:hAnsi="仿宋_GB2312" w:eastAsia="仿宋_GB2312" w:cs="仿宋_GB2312"/>
          <w:color w:val="000000" w:themeColor="text1"/>
          <w:sz w:val="24"/>
          <w:szCs w:val="24"/>
          <w:u w:val="singl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日      期:</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pPr>
        <w:rPr>
          <w:rFonts w:ascii="仿宋_GB2312" w:hAnsi="仿宋_GB2312" w:eastAsia="仿宋_GB2312" w:cs="仿宋_GB2312"/>
          <w:color w:val="000000" w:themeColor="text1"/>
          <w:sz w:val="24"/>
          <w:u w:val="single"/>
          <w14:textFill>
            <w14:solidFill>
              <w14:schemeClr w14:val="tx1"/>
            </w14:solidFill>
          </w14:textFill>
        </w:rPr>
      </w:pPr>
      <w:r>
        <w:rPr>
          <w:rFonts w:ascii="仿宋_GB2312" w:hAnsi="仿宋_GB2312" w:eastAsia="仿宋_GB2312" w:cs="仿宋_GB2312"/>
          <w:color w:val="000000" w:themeColor="text1"/>
          <w:sz w:val="24"/>
          <w:u w:val="single"/>
          <w14:textFill>
            <w14:solidFill>
              <w14:schemeClr w14:val="tx1"/>
            </w14:solidFill>
          </w14:textFill>
        </w:rPr>
        <w:br w:type="page"/>
      </w:r>
    </w:p>
    <w:p>
      <w:pPr>
        <w:pStyle w:val="3"/>
        <w:adjustRightInd w:val="0"/>
        <w:snapToGrid w:val="0"/>
        <w:spacing w:before="0" w:after="0" w:line="240" w:lineRule="auto"/>
        <w:jc w:val="left"/>
        <w:rPr>
          <w:rFonts w:ascii="仿宋_GB2312" w:hAnsi="仿宋" w:eastAsia="仿宋_GB2312" w:cs="仿宋_GB2312"/>
          <w:color w:val="000000" w:themeColor="text1"/>
          <w:szCs w:val="28"/>
          <w14:textFill>
            <w14:solidFill>
              <w14:schemeClr w14:val="tx1"/>
            </w14:solidFill>
          </w14:textFill>
        </w:rPr>
      </w:pPr>
      <w:r>
        <w:rPr>
          <w:rFonts w:hint="eastAsia" w:hAnsi="仿宋" w:cs="仿宋_GB2312"/>
          <w:color w:val="000000" w:themeColor="text1"/>
          <w:szCs w:val="28"/>
          <w14:textFill>
            <w14:solidFill>
              <w14:schemeClr w14:val="tx1"/>
            </w14:solidFill>
          </w14:textFill>
        </w:rPr>
        <w:t>格式</w:t>
      </w:r>
      <w:r>
        <w:rPr>
          <w:rFonts w:hint="eastAsia" w:ascii="仿宋_GB2312" w:hAnsi="仿宋" w:eastAsia="仿宋_GB2312" w:cs="仿宋_GB2312"/>
          <w:color w:val="000000" w:themeColor="text1"/>
          <w:szCs w:val="28"/>
          <w14:textFill>
            <w14:solidFill>
              <w14:schemeClr w14:val="tx1"/>
            </w14:solidFill>
          </w14:textFill>
        </w:rPr>
        <w:t>14-1</w:t>
      </w:r>
    </w:p>
    <w:p>
      <w:pPr>
        <w:spacing w:before="319" w:beforeLines="100" w:after="319" w:afterLines="100" w:line="360" w:lineRule="auto"/>
        <w:ind w:right="-21" w:rightChars="-10"/>
        <w:jc w:val="center"/>
        <w:rPr>
          <w:rFonts w:ascii="方正小标宋简体" w:hAnsi="仿宋" w:eastAsia="方正小标宋简体" w:cs="仿宋_GB2312"/>
          <w:color w:val="000000" w:themeColor="text1"/>
          <w:sz w:val="32"/>
          <w:szCs w:val="32"/>
          <w14:textFill>
            <w14:solidFill>
              <w14:schemeClr w14:val="tx1"/>
            </w14:solidFill>
          </w14:textFill>
        </w:rPr>
      </w:pPr>
      <w:r>
        <w:rPr>
          <w:rFonts w:hint="eastAsia" w:ascii="方正小标宋简体" w:hAnsi="仿宋" w:eastAsia="方正小标宋简体" w:cs="仿宋_GB2312"/>
          <w:color w:val="000000" w:themeColor="text1"/>
          <w:sz w:val="32"/>
          <w:szCs w:val="32"/>
          <w14:textFill>
            <w14:solidFill>
              <w14:schemeClr w14:val="tx1"/>
            </w14:solidFill>
          </w14:textFill>
        </w:rPr>
        <w:t>承诺函</w:t>
      </w: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14:textFill>
            <w14:solidFill>
              <w14:schemeClr w14:val="tx1"/>
            </w14:solidFill>
          </w14:textFill>
        </w:rPr>
      </w:pPr>
    </w:p>
    <w:p>
      <w:pPr>
        <w:adjustRightInd w:val="0"/>
        <w:snapToGrid w:val="0"/>
        <w:spacing w:line="360" w:lineRule="auto"/>
        <w:ind w:right="105" w:rightChars="50" w:firstLine="544" w:firstLineChars="227"/>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注：投标人提供“无条件开放接口”的承诺函，内容可延展。</w:t>
      </w: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14:textFill>
            <w14:solidFill>
              <w14:schemeClr w14:val="tx1"/>
            </w14:solidFill>
          </w14:textFill>
        </w:rPr>
      </w:pP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adjustRightInd w:val="0"/>
        <w:snapToGrid w:val="0"/>
        <w:spacing w:line="360" w:lineRule="auto"/>
        <w:ind w:right="105" w:rightChars="50"/>
        <w:jc w:val="left"/>
        <w:rPr>
          <w:rFonts w:ascii="仿宋_GB2312" w:hAnsi="仿宋" w:eastAsia="仿宋_GB2312" w:cs="仿宋_GB2312"/>
          <w:color w:val="000000" w:themeColor="text1"/>
          <w:szCs w:val="21"/>
          <w14:textFill>
            <w14:solidFill>
              <w14:schemeClr w14:val="tx1"/>
            </w14:solidFill>
          </w14:textFill>
        </w:rPr>
      </w:pPr>
    </w:p>
    <w:p>
      <w:pPr>
        <w:snapToGrid w:val="0"/>
        <w:spacing w:line="480" w:lineRule="auto"/>
        <w:rPr>
          <w:rFonts w:ascii="仿宋_GB2312" w:hAnsi="仿宋" w:eastAsia="仿宋_GB2312" w:cs="仿宋_GB2312"/>
          <w:color w:val="000000" w:themeColor="text1"/>
          <w:sz w:val="24"/>
          <w14:textFill>
            <w14:solidFill>
              <w14:schemeClr w14:val="tx1"/>
            </w14:solidFill>
          </w14:textFill>
        </w:rPr>
      </w:pPr>
    </w:p>
    <w:p>
      <w:pPr>
        <w:snapToGrid w:val="0"/>
        <w:spacing w:line="480" w:lineRule="auto"/>
        <w:rPr>
          <w:rFonts w:ascii="仿宋_GB2312" w:hAnsi="仿宋" w:eastAsia="仿宋_GB2312" w:cs="仿宋_GB2312"/>
          <w:color w:val="000000" w:themeColor="text1"/>
          <w:sz w:val="24"/>
          <w14:textFill>
            <w14:solidFill>
              <w14:schemeClr w14:val="tx1"/>
            </w14:solidFill>
          </w14:textFill>
        </w:rPr>
      </w:pPr>
    </w:p>
    <w:p>
      <w:pPr>
        <w:snapToGrid w:val="0"/>
        <w:spacing w:line="48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投标人名称（加盖单位公章）：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snapToGrid w:val="0"/>
        <w:spacing w:line="48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法定代表人（或非法人组织负责人）或其授权委托人(签字或盖章)：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pStyle w:val="51"/>
        <w:snapToGrid w:val="0"/>
        <w:spacing w:line="360" w:lineRule="auto"/>
        <w:rPr>
          <w:rFonts w:hAnsi="仿宋"/>
          <w:color w:val="000000" w:themeColor="text1"/>
          <w:szCs w:val="28"/>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xml:space="preserve">日 </w:t>
      </w:r>
      <w:r>
        <w:rPr>
          <w:rFonts w:ascii="仿宋_GB2312" w:hAnsi="仿宋" w:eastAsia="仿宋_GB2312" w:cs="仿宋_GB2312"/>
          <w:color w:val="000000" w:themeColor="text1"/>
          <w:sz w:val="24"/>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期：</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bookmarkEnd w:id="96"/>
      <w:bookmarkEnd w:id="97"/>
      <w:r>
        <w:rPr>
          <w:rFonts w:hAnsi="仿宋"/>
          <w:color w:val="000000" w:themeColor="text1"/>
          <w:szCs w:val="28"/>
          <w14:textFill>
            <w14:solidFill>
              <w14:schemeClr w14:val="tx1"/>
            </w14:solidFill>
          </w14:textFill>
        </w:rPr>
        <w:br w:type="page"/>
      </w:r>
    </w:p>
    <w:p>
      <w:pPr>
        <w:pStyle w:val="3"/>
        <w:adjustRightInd w:val="0"/>
        <w:snapToGrid w:val="0"/>
        <w:spacing w:before="0" w:after="0" w:line="240" w:lineRule="auto"/>
        <w:jc w:val="left"/>
        <w:rPr>
          <w:rFonts w:ascii="仿宋_GB2312" w:hAnsi="仿宋" w:eastAsia="仿宋_GB2312" w:cs="仿宋_GB2312"/>
          <w:color w:val="000000" w:themeColor="text1"/>
          <w:szCs w:val="28"/>
          <w14:textFill>
            <w14:solidFill>
              <w14:schemeClr w14:val="tx1"/>
            </w14:solidFill>
          </w14:textFill>
        </w:rPr>
      </w:pPr>
      <w:r>
        <w:rPr>
          <w:rFonts w:hint="eastAsia" w:hAnsi="仿宋" w:cs="仿宋_GB2312"/>
          <w:color w:val="000000" w:themeColor="text1"/>
          <w:szCs w:val="28"/>
          <w14:textFill>
            <w14:solidFill>
              <w14:schemeClr w14:val="tx1"/>
            </w14:solidFill>
          </w14:textFill>
        </w:rPr>
        <w:t>格式</w:t>
      </w:r>
      <w:r>
        <w:rPr>
          <w:rFonts w:hint="eastAsia" w:ascii="仿宋_GB2312" w:hAnsi="仿宋" w:eastAsia="仿宋_GB2312" w:cs="仿宋_GB2312"/>
          <w:color w:val="000000" w:themeColor="text1"/>
          <w:szCs w:val="28"/>
          <w14:textFill>
            <w14:solidFill>
              <w14:schemeClr w14:val="tx1"/>
            </w14:solidFill>
          </w14:textFill>
        </w:rPr>
        <w:t>15</w:t>
      </w:r>
    </w:p>
    <w:p>
      <w:pPr>
        <w:spacing w:before="319" w:beforeLines="100" w:after="319" w:afterLines="100" w:line="360" w:lineRule="auto"/>
        <w:ind w:right="-21" w:rightChars="-10"/>
        <w:jc w:val="center"/>
        <w:rPr>
          <w:rFonts w:ascii="方正小标宋简体" w:hAnsi="仿宋" w:eastAsia="方正小标宋简体" w:cs="仿宋_GB2312"/>
          <w:color w:val="000000" w:themeColor="text1"/>
          <w:sz w:val="32"/>
          <w:szCs w:val="32"/>
          <w14:textFill>
            <w14:solidFill>
              <w14:schemeClr w14:val="tx1"/>
            </w14:solidFill>
          </w14:textFill>
        </w:rPr>
      </w:pPr>
      <w:bookmarkStart w:id="98" w:name="_Toc9410_WPSOffice_Level2"/>
      <w:bookmarkStart w:id="99" w:name="_Toc20929_WPSOffice_Level2"/>
      <w:r>
        <w:rPr>
          <w:rFonts w:hint="eastAsia" w:ascii="方正小标宋简体" w:hAnsi="仿宋" w:eastAsia="方正小标宋简体" w:cs="仿宋_GB2312"/>
          <w:color w:val="000000" w:themeColor="text1"/>
          <w:sz w:val="32"/>
          <w:szCs w:val="32"/>
          <w14:textFill>
            <w14:solidFill>
              <w14:schemeClr w14:val="tx1"/>
            </w14:solidFill>
          </w14:textFill>
        </w:rPr>
        <w:t>投标人关联单位的说明</w:t>
      </w:r>
      <w:bookmarkEnd w:id="98"/>
      <w:bookmarkEnd w:id="99"/>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说明：投标人应当如实披露与本单位存在下列关联关系的单位名称：</w:t>
      </w: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14:textFill>
            <w14:solidFill>
              <w14:schemeClr w14:val="tx1"/>
            </w14:solidFill>
          </w14:textFill>
        </w:rPr>
      </w:pPr>
      <w:bookmarkStart w:id="100" w:name="_Toc31070_WPSOffice_Level2"/>
      <w:bookmarkStart w:id="101" w:name="_Toc2074_WPSOffice_Level2"/>
      <w:r>
        <w:rPr>
          <w:rFonts w:hint="eastAsia" w:ascii="仿宋_GB2312" w:hAnsi="仿宋" w:eastAsia="仿宋_GB2312" w:cs="仿宋_GB2312"/>
          <w:color w:val="000000" w:themeColor="text1"/>
          <w:sz w:val="24"/>
          <w14:textFill>
            <w14:solidFill>
              <w14:schemeClr w14:val="tx1"/>
            </w14:solidFill>
          </w14:textFill>
        </w:rPr>
        <w:t>（1）与投标人单位法定代表人（或非法人组织负责人）为同一人的其他单位；</w:t>
      </w:r>
      <w:bookmarkEnd w:id="100"/>
      <w:bookmarkEnd w:id="101"/>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14:textFill>
            <w14:solidFill>
              <w14:schemeClr w14:val="tx1"/>
            </w14:solidFill>
          </w14:textFill>
        </w:rPr>
      </w:pPr>
      <w:bookmarkStart w:id="102" w:name="_Toc889_WPSOffice_Level2"/>
      <w:bookmarkStart w:id="103" w:name="_Toc27053_WPSOffice_Level2"/>
      <w:r>
        <w:rPr>
          <w:rFonts w:hint="eastAsia" w:ascii="仿宋_GB2312" w:hAnsi="仿宋" w:eastAsia="仿宋_GB2312" w:cs="仿宋_GB2312"/>
          <w:color w:val="000000" w:themeColor="text1"/>
          <w:sz w:val="24"/>
          <w14:textFill>
            <w14:solidFill>
              <w14:schemeClr w14:val="tx1"/>
            </w14:solidFill>
          </w14:textFill>
        </w:rPr>
        <w:t>（2）与投标人存在直接控股、管理关系的其他单位。</w:t>
      </w:r>
      <w:bookmarkEnd w:id="102"/>
      <w:bookmarkEnd w:id="103"/>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14:textFill>
            <w14:solidFill>
              <w14:schemeClr w14:val="tx1"/>
            </w14:solidFill>
          </w14:textFill>
        </w:rPr>
      </w:pP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注：若无此情形，写“无”即可。</w:t>
      </w: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adjustRightInd w:val="0"/>
        <w:snapToGrid w:val="0"/>
        <w:spacing w:line="360" w:lineRule="auto"/>
        <w:ind w:right="105" w:rightChars="50" w:firstLine="476" w:firstLineChars="227"/>
        <w:jc w:val="left"/>
      </w:pPr>
    </w:p>
    <w:p>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14:textFill>
            <w14:solidFill>
              <w14:schemeClr w14:val="tx1"/>
            </w14:solidFill>
          </w14:textFill>
        </w:rPr>
      </w:pPr>
    </w:p>
    <w:p>
      <w:pPr>
        <w:adjustRightInd w:val="0"/>
        <w:snapToGrid w:val="0"/>
        <w:spacing w:line="360" w:lineRule="auto"/>
        <w:ind w:right="105" w:rightChars="50"/>
        <w:jc w:val="left"/>
        <w:rPr>
          <w:rFonts w:ascii="仿宋_GB2312" w:hAnsi="仿宋" w:eastAsia="仿宋_GB2312" w:cs="仿宋_GB2312"/>
          <w:color w:val="000000" w:themeColor="text1"/>
          <w:szCs w:val="21"/>
          <w14:textFill>
            <w14:solidFill>
              <w14:schemeClr w14:val="tx1"/>
            </w14:solidFill>
          </w14:textFill>
        </w:rPr>
      </w:pPr>
    </w:p>
    <w:p>
      <w:pPr>
        <w:snapToGrid w:val="0"/>
        <w:spacing w:line="48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投标人名称（加盖单位公章）：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snapToGrid w:val="0"/>
        <w:spacing w:line="48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法定代表人（或非法人组织负责人）或其授权委托人(签字或盖章)：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adjustRightInd w:val="0"/>
        <w:snapToGrid w:val="0"/>
        <w:spacing w:line="480" w:lineRule="auto"/>
        <w:ind w:right="105" w:rightChars="50"/>
        <w:jc w:val="left"/>
        <w:rPr>
          <w:rFonts w:ascii="仿宋_GB2312" w:hAnsi="仿宋" w:eastAsia="仿宋_GB2312" w:cs="仿宋_GB2312"/>
          <w:color w:val="000000" w:themeColor="text1"/>
          <w:sz w:val="24"/>
          <w:u w:val="single"/>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xml:space="preserve">日 </w:t>
      </w:r>
      <w:r>
        <w:rPr>
          <w:rFonts w:ascii="仿宋_GB2312" w:hAnsi="仿宋" w:eastAsia="仿宋_GB2312" w:cs="仿宋_GB2312"/>
          <w:color w:val="000000" w:themeColor="text1"/>
          <w:sz w:val="24"/>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期：</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rPr>
          <w:rFonts w:ascii="仿宋_GB2312" w:hAnsi="仿宋" w:eastAsia="仿宋_GB2312" w:cs="仿宋_GB2312"/>
          <w:color w:val="000000" w:themeColor="text1"/>
          <w:sz w:val="24"/>
          <w:u w:val="single"/>
          <w14:textFill>
            <w14:solidFill>
              <w14:schemeClr w14:val="tx1"/>
            </w14:solidFill>
          </w14:textFill>
        </w:rPr>
      </w:pPr>
      <w:r>
        <w:rPr>
          <w:rFonts w:hint="eastAsia" w:ascii="仿宋_GB2312" w:hAnsi="仿宋" w:eastAsia="仿宋_GB2312" w:cs="仿宋_GB2312"/>
          <w:color w:val="000000" w:themeColor="text1"/>
          <w:sz w:val="24"/>
          <w:u w:val="single"/>
          <w14:textFill>
            <w14:solidFill>
              <w14:schemeClr w14:val="tx1"/>
            </w14:solidFill>
          </w14:textFill>
        </w:rPr>
        <w:br w:type="page"/>
      </w:r>
    </w:p>
    <w:p>
      <w:pPr>
        <w:pStyle w:val="3"/>
        <w:adjustRightInd w:val="0"/>
        <w:snapToGrid w:val="0"/>
        <w:spacing w:before="0" w:after="0" w:line="240" w:lineRule="auto"/>
        <w:jc w:val="left"/>
        <w:rPr>
          <w:rFonts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格式16</w:t>
      </w:r>
    </w:p>
    <w:p>
      <w:pPr>
        <w:spacing w:before="319" w:beforeLines="100" w:after="319" w:afterLines="100" w:line="360" w:lineRule="auto"/>
        <w:ind w:right="-21" w:rightChars="-10"/>
        <w:jc w:val="center"/>
        <w:rPr>
          <w:rFonts w:ascii="仿宋_GB2312" w:hAnsi="仿宋_GB2312" w:eastAsia="仿宋_GB2312" w:cs="仿宋_GB2312"/>
          <w:color w:val="000000" w:themeColor="text1"/>
          <w:sz w:val="24"/>
          <w14:textFill>
            <w14:solidFill>
              <w14:schemeClr w14:val="tx1"/>
            </w14:solidFill>
          </w14:textFill>
        </w:rPr>
      </w:pPr>
      <w:r>
        <w:rPr>
          <w:rFonts w:hint="eastAsia" w:ascii="方正小标宋简体" w:hAnsi="仿宋" w:eastAsia="方正小标宋简体" w:cs="仿宋_GB2312"/>
          <w:color w:val="000000" w:themeColor="text1"/>
          <w:sz w:val="32"/>
          <w:szCs w:val="32"/>
          <w14:textFill>
            <w14:solidFill>
              <w14:schemeClr w14:val="tx1"/>
            </w14:solidFill>
          </w14:textFill>
        </w:rPr>
        <w:t>文件一致性承诺函</w:t>
      </w:r>
    </w:p>
    <w:p>
      <w:pPr>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我单位承诺：现场递交的加密备份投标文件与电子评审系统中上传的投标文件内容、格式一致，以备系统突发故障使用。</w:t>
      </w:r>
    </w:p>
    <w:p>
      <w:pPr>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如启用备份文件，我公司将配合采购人、采购组织机构共同对使用情况进行签字确认，并同意采购人、采购组织机构将存储的备份文件与采购档案一并存档。</w:t>
      </w:r>
    </w:p>
    <w:p>
      <w:pPr>
        <w:spacing w:line="360" w:lineRule="auto"/>
        <w:ind w:firstLine="420" w:firstLineChars="200"/>
        <w:rPr>
          <w:rFonts w:ascii="仿宋_GB2312" w:hAnsi="仿宋_GB2312" w:eastAsia="仿宋_GB2312" w:cs="仿宋_GB2312"/>
          <w:color w:val="000000" w:themeColor="text1"/>
          <w:szCs w:val="21"/>
          <w14:textFill>
            <w14:solidFill>
              <w14:schemeClr w14:val="tx1"/>
            </w14:solidFill>
          </w14:textFill>
        </w:rPr>
      </w:pPr>
    </w:p>
    <w:p>
      <w:pPr>
        <w:pStyle w:val="76"/>
        <w:rPr>
          <w:rFonts w:ascii="仿宋_GB2312" w:hAnsi="仿宋_GB2312" w:eastAsia="仿宋_GB2312" w:cs="仿宋_GB2312"/>
          <w:color w:val="000000" w:themeColor="text1"/>
          <w:sz w:val="21"/>
          <w:szCs w:val="21"/>
          <w14:textFill>
            <w14:solidFill>
              <w14:schemeClr w14:val="tx1"/>
            </w14:solidFill>
          </w14:textFill>
        </w:rPr>
      </w:pPr>
    </w:p>
    <w:p>
      <w:pPr>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特此说明</w:t>
      </w:r>
    </w:p>
    <w:p>
      <w:pPr>
        <w:tabs>
          <w:tab w:val="right" w:pos="8959"/>
        </w:tabs>
        <w:spacing w:line="288" w:lineRule="auto"/>
        <w:rPr>
          <w:rFonts w:ascii="仿宋_GB2312" w:hAnsi="仿宋_GB2312" w:eastAsia="仿宋_GB2312" w:cs="仿宋_GB2312"/>
          <w:b/>
          <w:color w:val="000000" w:themeColor="text1"/>
          <w:szCs w:val="21"/>
          <w14:textFill>
            <w14:solidFill>
              <w14:schemeClr w14:val="tx1"/>
            </w14:solidFill>
          </w14:textFill>
        </w:rPr>
      </w:pPr>
    </w:p>
    <w:p>
      <w:pPr>
        <w:spacing w:line="288" w:lineRule="auto"/>
        <w:ind w:firstLine="411" w:firstLineChars="196"/>
        <w:rPr>
          <w:rFonts w:ascii="仿宋_GB2312" w:hAnsi="仿宋_GB2312" w:eastAsia="仿宋_GB2312" w:cs="仿宋_GB2312"/>
          <w:b/>
          <w:color w:val="000000" w:themeColor="text1"/>
          <w:szCs w:val="21"/>
          <w14:textFill>
            <w14:solidFill>
              <w14:schemeClr w14:val="tx1"/>
            </w14:solidFill>
          </w14:textFill>
        </w:rPr>
      </w:pPr>
    </w:p>
    <w:p>
      <w:pPr>
        <w:tabs>
          <w:tab w:val="right" w:pos="8959"/>
        </w:tabs>
        <w:spacing w:line="288" w:lineRule="auto"/>
        <w:rPr>
          <w:rFonts w:ascii="仿宋_GB2312" w:hAnsi="仿宋_GB2312" w:eastAsia="仿宋_GB2312" w:cs="仿宋_GB2312"/>
          <w:b/>
          <w:color w:val="000000" w:themeColor="text1"/>
          <w:sz w:val="24"/>
          <w14:textFill>
            <w14:solidFill>
              <w14:schemeClr w14:val="tx1"/>
            </w14:solidFill>
          </w14:textFill>
        </w:rPr>
      </w:pPr>
    </w:p>
    <w:p>
      <w:pPr>
        <w:spacing w:line="288" w:lineRule="auto"/>
        <w:ind w:firstLine="470" w:firstLineChars="196"/>
        <w:rPr>
          <w:rFonts w:ascii="仿宋_GB2312" w:hAnsi="仿宋_GB2312" w:eastAsia="仿宋_GB2312" w:cs="仿宋_GB2312"/>
          <w:b/>
          <w:color w:val="000000" w:themeColor="text1"/>
          <w:sz w:val="24"/>
          <w14:textFill>
            <w14:solidFill>
              <w14:schemeClr w14:val="tx1"/>
            </w14:solidFill>
          </w14:textFill>
        </w:rPr>
      </w:pPr>
    </w:p>
    <w:p>
      <w:pPr>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p>
    <w:p>
      <w:pPr>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p>
    <w:p>
      <w:pPr>
        <w:snapToGrid w:val="0"/>
        <w:spacing w:line="48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投标人名称（加盖单位公章）：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snapToGrid w:val="0"/>
        <w:spacing w:line="48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法定代表人（或非法人组织负责人）或其授权委托人(签字或盖章)：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adjustRightInd w:val="0"/>
        <w:snapToGrid w:val="0"/>
        <w:spacing w:line="480" w:lineRule="auto"/>
        <w:ind w:right="105" w:rightChars="50"/>
        <w:jc w:val="left"/>
        <w:rPr>
          <w:rFonts w:ascii="仿宋_GB2312" w:hAnsi="仿宋" w:eastAsia="仿宋_GB2312" w:cs="仿宋_GB2312"/>
          <w:color w:val="000000" w:themeColor="text1"/>
          <w:sz w:val="24"/>
          <w:u w:val="single"/>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xml:space="preserve">日 </w:t>
      </w:r>
      <w:r>
        <w:rPr>
          <w:rFonts w:ascii="仿宋_GB2312" w:hAnsi="仿宋" w:eastAsia="仿宋_GB2312" w:cs="仿宋_GB2312"/>
          <w:color w:val="000000" w:themeColor="text1"/>
          <w:sz w:val="24"/>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期：</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adjustRightInd w:val="0"/>
        <w:snapToGrid w:val="0"/>
        <w:spacing w:line="360" w:lineRule="auto"/>
        <w:ind w:right="105" w:rightChars="50"/>
        <w:jc w:val="left"/>
        <w:rPr>
          <w:rFonts w:ascii="仿宋_GB2312" w:hAnsi="仿宋" w:eastAsia="仿宋_GB2312" w:cs="仿宋_GB2312"/>
          <w:color w:val="000000" w:themeColor="text1"/>
          <w:u w:val="single"/>
          <w14:textFill>
            <w14:solidFill>
              <w14:schemeClr w14:val="tx1"/>
            </w14:solidFill>
          </w14:textFill>
        </w:rPr>
      </w:pPr>
    </w:p>
    <w:p>
      <w:pPr>
        <w:adjustRightInd w:val="0"/>
        <w:snapToGrid w:val="0"/>
        <w:spacing w:line="360" w:lineRule="auto"/>
        <w:ind w:right="105" w:rightChars="50"/>
        <w:jc w:val="left"/>
        <w:rPr>
          <w:rFonts w:ascii="仿宋_GB2312" w:hAnsi="仿宋" w:eastAsia="仿宋_GB2312" w:cs="仿宋_GB2312"/>
          <w:color w:val="000000" w:themeColor="text1"/>
          <w:u w:val="single"/>
          <w14:textFill>
            <w14:solidFill>
              <w14:schemeClr w14:val="tx1"/>
            </w14:solidFill>
          </w14:textFill>
        </w:rPr>
      </w:pPr>
    </w:p>
    <w:p>
      <w:pPr>
        <w:pStyle w:val="3"/>
        <w:adjustRightInd w:val="0"/>
        <w:snapToGrid w:val="0"/>
        <w:spacing w:before="0" w:after="0" w:line="240" w:lineRule="auto"/>
        <w:jc w:val="left"/>
        <w:rPr>
          <w:rFonts w:ascii="仿宋_GB2312" w:hAnsi="仿宋" w:eastAsia="仿宋_GB2312" w:cs="仿宋_GB2312"/>
          <w:color w:val="000000" w:themeColor="text1"/>
          <w:szCs w:val="28"/>
          <w14:textFill>
            <w14:solidFill>
              <w14:schemeClr w14:val="tx1"/>
            </w14:solidFill>
          </w14:textFill>
        </w:rPr>
      </w:pPr>
      <w:r>
        <w:rPr>
          <w:rFonts w:hint="eastAsia" w:ascii="仿宋_GB2312" w:hAnsi="仿宋" w:eastAsia="仿宋_GB2312" w:cs="仿宋_GB2312"/>
          <w:color w:val="000000" w:themeColor="text1"/>
          <w:szCs w:val="21"/>
          <w14:textFill>
            <w14:solidFill>
              <w14:schemeClr w14:val="tx1"/>
            </w14:solidFill>
          </w14:textFill>
        </w:rPr>
        <w:br w:type="page"/>
      </w:r>
      <w:r>
        <w:rPr>
          <w:rFonts w:hint="eastAsia" w:ascii="仿宋_GB2312" w:hAnsi="仿宋" w:eastAsia="仿宋_GB2312" w:cs="仿宋_GB2312"/>
          <w:color w:val="000000" w:themeColor="text1"/>
          <w:szCs w:val="28"/>
          <w14:textFill>
            <w14:solidFill>
              <w14:schemeClr w14:val="tx1"/>
            </w14:solidFill>
          </w14:textFill>
        </w:rPr>
        <w:t>格式17</w:t>
      </w:r>
    </w:p>
    <w:p>
      <w:pPr>
        <w:spacing w:before="319" w:beforeLines="100" w:after="319" w:afterLines="100" w:line="360" w:lineRule="auto"/>
        <w:ind w:right="-21" w:rightChars="-10"/>
        <w:jc w:val="center"/>
        <w:rPr>
          <w:rFonts w:ascii="方正小标宋简体" w:hAnsi="仿宋" w:eastAsia="方正小标宋简体" w:cs="仿宋_GB2312"/>
          <w:color w:val="000000" w:themeColor="text1"/>
          <w:sz w:val="32"/>
          <w:szCs w:val="32"/>
          <w14:textFill>
            <w14:solidFill>
              <w14:schemeClr w14:val="tx1"/>
            </w14:solidFill>
          </w14:textFill>
        </w:rPr>
      </w:pPr>
      <w:r>
        <w:rPr>
          <w:rFonts w:hint="eastAsia" w:ascii="方正小标宋简体" w:hAnsi="仿宋" w:eastAsia="方正小标宋简体" w:cs="仿宋_GB2312"/>
          <w:color w:val="000000" w:themeColor="text1"/>
          <w:sz w:val="32"/>
          <w:szCs w:val="32"/>
          <w14:textFill>
            <w14:solidFill>
              <w14:schemeClr w14:val="tx1"/>
            </w14:solidFill>
          </w14:textFill>
        </w:rPr>
        <w:t>中小企业声明函</w:t>
      </w:r>
    </w:p>
    <w:p>
      <w:pPr>
        <w:widowControl/>
        <w:spacing w:line="480" w:lineRule="exact"/>
        <w:ind w:firstLine="480" w:firstLineChars="200"/>
        <w:jc w:val="left"/>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本公司（联合体如有）郑重声明，根据《政府采购促进中小企业发展管理办法》（财库</w:t>
      </w:r>
      <w:r>
        <w:rPr>
          <w:rFonts w:hint="eastAsia" w:ascii="微软雅黑" w:hAnsi="微软雅黑" w:eastAsia="微软雅黑"/>
          <w:color w:val="000000" w:themeColor="text1"/>
          <w:kern w:val="0"/>
          <w:sz w:val="24"/>
          <w14:textFill>
            <w14:solidFill>
              <w14:schemeClr w14:val="tx1"/>
            </w14:solidFill>
          </w14:textFill>
        </w:rPr>
        <w:t>﹝</w:t>
      </w:r>
      <w:r>
        <w:rPr>
          <w:rFonts w:hint="eastAsia" w:ascii="仿宋_GB2312" w:eastAsia="仿宋_GB2312"/>
          <w:color w:val="000000" w:themeColor="text1"/>
          <w:kern w:val="0"/>
          <w:sz w:val="24"/>
          <w14:textFill>
            <w14:solidFill>
              <w14:schemeClr w14:val="tx1"/>
            </w14:solidFill>
          </w14:textFill>
        </w:rPr>
        <w:t>2020</w:t>
      </w:r>
      <w:r>
        <w:rPr>
          <w:rFonts w:hint="eastAsia" w:ascii="微软雅黑" w:hAnsi="微软雅黑" w:eastAsia="微软雅黑"/>
          <w:color w:val="000000" w:themeColor="text1"/>
          <w:kern w:val="0"/>
          <w:sz w:val="24"/>
          <w14:textFill>
            <w14:solidFill>
              <w14:schemeClr w14:val="tx1"/>
            </w14:solidFill>
          </w14:textFill>
        </w:rPr>
        <w:t>﹞</w:t>
      </w:r>
      <w:r>
        <w:rPr>
          <w:rFonts w:hint="eastAsia" w:ascii="仿宋_GB2312" w:eastAsia="仿宋_GB2312"/>
          <w:color w:val="000000" w:themeColor="text1"/>
          <w:kern w:val="0"/>
          <w:sz w:val="24"/>
          <w14:textFill>
            <w14:solidFill>
              <w14:schemeClr w14:val="tx1"/>
            </w14:solidFill>
          </w14:textFill>
        </w:rPr>
        <w:t>46 号）的规定，本公司（联合体如有）参加</w:t>
      </w:r>
      <w:r>
        <w:rPr>
          <w:rFonts w:hint="eastAsia" w:ascii="仿宋_GB2312" w:eastAsia="仿宋_GB2312"/>
          <w:color w:val="000000" w:themeColor="text1"/>
          <w:kern w:val="0"/>
          <w:sz w:val="24"/>
          <w:u w:val="single"/>
          <w14:textFill>
            <w14:solidFill>
              <w14:schemeClr w14:val="tx1"/>
            </w14:solidFill>
          </w14:textFill>
        </w:rPr>
        <w:t xml:space="preserve">      （采购人名称）</w:t>
      </w:r>
      <w:r>
        <w:rPr>
          <w:rFonts w:hint="eastAsia" w:ascii="仿宋_GB2312" w:eastAsia="仿宋_GB2312"/>
          <w:color w:val="000000" w:themeColor="text1"/>
          <w:kern w:val="0"/>
          <w:sz w:val="24"/>
          <w14:textFill>
            <w14:solidFill>
              <w14:schemeClr w14:val="tx1"/>
            </w14:solidFill>
          </w14:textFill>
        </w:rPr>
        <w:t>的</w:t>
      </w:r>
      <w:r>
        <w:rPr>
          <w:rFonts w:hint="eastAsia" w:ascii="仿宋_GB2312" w:eastAsia="仿宋_GB2312"/>
          <w:color w:val="000000" w:themeColor="text1"/>
          <w:kern w:val="0"/>
          <w:sz w:val="24"/>
          <w:u w:val="single"/>
          <w14:textFill>
            <w14:solidFill>
              <w14:schemeClr w14:val="tx1"/>
            </w14:solidFill>
          </w14:textFill>
        </w:rPr>
        <w:t xml:space="preserve">         （项目名称）</w:t>
      </w:r>
      <w:r>
        <w:rPr>
          <w:rFonts w:hint="eastAsia" w:ascii="仿宋_GB2312" w:eastAsia="仿宋_GB2312"/>
          <w:color w:val="000000" w:themeColor="text1"/>
          <w:kern w:val="0"/>
          <w:sz w:val="24"/>
          <w14:textFill>
            <w14:solidFill>
              <w14:schemeClr w14:val="tx1"/>
            </w14:solidFill>
          </w14:textFill>
        </w:rPr>
        <w:t>采购活动，服务全部由符合政策要求的中小企业承接，为</w:t>
      </w:r>
      <w:r>
        <w:rPr>
          <w:rFonts w:hint="eastAsia" w:ascii="仿宋_GB2312" w:eastAsia="仿宋_GB2312"/>
          <w:color w:val="000000" w:themeColor="text1"/>
          <w:kern w:val="0"/>
          <w:sz w:val="24"/>
          <w:u w:val="single"/>
          <w14:textFill>
            <w14:solidFill>
              <w14:schemeClr w14:val="tx1"/>
            </w14:solidFill>
          </w14:textFill>
        </w:rPr>
        <w:t xml:space="preserve">       </w:t>
      </w:r>
      <w:r>
        <w:rPr>
          <w:rFonts w:hint="eastAsia" w:ascii="仿宋_GB2312" w:eastAsia="仿宋_GB2312"/>
          <w:color w:val="000000" w:themeColor="text1"/>
          <w:kern w:val="0"/>
          <w:sz w:val="24"/>
          <w14:textFill>
            <w14:solidFill>
              <w14:schemeClr w14:val="tx1"/>
            </w14:solidFill>
          </w14:textFill>
        </w:rPr>
        <w:t>（请填写：中型、小型、微型）企业。相关企业（含联合体中的中小企业、签订分包意向协议的中小企业）的具体情况如下：</w:t>
      </w:r>
    </w:p>
    <w:p>
      <w:pPr>
        <w:widowControl/>
        <w:spacing w:line="480" w:lineRule="exact"/>
        <w:ind w:firstLine="720" w:firstLineChars="300"/>
        <w:jc w:val="left"/>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 xml:space="preserve">1. </w:t>
      </w:r>
      <w:r>
        <w:rPr>
          <w:rFonts w:hint="eastAsia" w:ascii="仿宋_GB2312" w:eastAsia="仿宋_GB2312"/>
          <w:color w:val="000000" w:themeColor="text1"/>
          <w:kern w:val="0"/>
          <w:sz w:val="24"/>
          <w:u w:val="single"/>
          <w14:textFill>
            <w14:solidFill>
              <w14:schemeClr w14:val="tx1"/>
            </w14:solidFill>
          </w14:textFill>
        </w:rPr>
        <w:t xml:space="preserve">     （标的名称）</w:t>
      </w:r>
      <w:r>
        <w:rPr>
          <w:rFonts w:hint="eastAsia" w:ascii="仿宋_GB2312" w:eastAsia="仿宋_GB2312"/>
          <w:color w:val="000000" w:themeColor="text1"/>
          <w:kern w:val="0"/>
          <w:sz w:val="24"/>
          <w14:textFill>
            <w14:solidFill>
              <w14:schemeClr w14:val="tx1"/>
            </w14:solidFill>
          </w14:textFill>
        </w:rPr>
        <w:t>，属于</w:t>
      </w:r>
      <w:r>
        <w:rPr>
          <w:rFonts w:hint="eastAsia" w:ascii="仿宋_GB2312" w:eastAsia="仿宋_GB2312"/>
          <w:color w:val="000000" w:themeColor="text1"/>
          <w:kern w:val="0"/>
          <w:sz w:val="24"/>
          <w:u w:val="single"/>
          <w14:textFill>
            <w14:solidFill>
              <w14:schemeClr w14:val="tx1"/>
            </w14:solidFill>
          </w14:textFill>
        </w:rPr>
        <w:t xml:space="preserve">       （采购文件中明确的所属行业）</w:t>
      </w:r>
      <w:r>
        <w:rPr>
          <w:rFonts w:hint="eastAsia" w:ascii="仿宋_GB2312" w:eastAsia="仿宋_GB2312"/>
          <w:color w:val="000000" w:themeColor="text1"/>
          <w:kern w:val="0"/>
          <w:sz w:val="24"/>
          <w14:textFill>
            <w14:solidFill>
              <w14:schemeClr w14:val="tx1"/>
            </w14:solidFill>
          </w14:textFill>
        </w:rPr>
        <w:t>；承接企业为</w:t>
      </w:r>
      <w:r>
        <w:rPr>
          <w:rFonts w:hint="eastAsia" w:ascii="仿宋_GB2312" w:eastAsia="仿宋_GB2312"/>
          <w:color w:val="000000" w:themeColor="text1"/>
          <w:kern w:val="0"/>
          <w:sz w:val="24"/>
          <w:u w:val="single"/>
          <w14:textFill>
            <w14:solidFill>
              <w14:schemeClr w14:val="tx1"/>
            </w14:solidFill>
          </w14:textFill>
        </w:rPr>
        <w:t xml:space="preserve">     （企业名称）</w:t>
      </w:r>
      <w:r>
        <w:rPr>
          <w:rFonts w:hint="eastAsia" w:ascii="仿宋_GB2312" w:eastAsia="仿宋_GB2312"/>
          <w:color w:val="000000" w:themeColor="text1"/>
          <w:kern w:val="0"/>
          <w:sz w:val="24"/>
          <w14:textFill>
            <w14:solidFill>
              <w14:schemeClr w14:val="tx1"/>
            </w14:solidFill>
          </w14:textFill>
        </w:rPr>
        <w:t>，从业人员</w:t>
      </w:r>
      <w:r>
        <w:rPr>
          <w:rFonts w:hint="eastAsia" w:ascii="仿宋_GB2312" w:eastAsia="仿宋_GB2312"/>
          <w:color w:val="000000" w:themeColor="text1"/>
          <w:kern w:val="0"/>
          <w:sz w:val="24"/>
          <w:u w:val="single"/>
          <w14:textFill>
            <w14:solidFill>
              <w14:schemeClr w14:val="tx1"/>
            </w14:solidFill>
          </w14:textFill>
        </w:rPr>
        <w:t xml:space="preserve">     </w:t>
      </w:r>
      <w:r>
        <w:rPr>
          <w:rFonts w:hint="eastAsia" w:ascii="仿宋_GB2312" w:eastAsia="仿宋_GB2312"/>
          <w:color w:val="000000" w:themeColor="text1"/>
          <w:kern w:val="0"/>
          <w:sz w:val="24"/>
          <w14:textFill>
            <w14:solidFill>
              <w14:schemeClr w14:val="tx1"/>
            </w14:solidFill>
          </w14:textFill>
        </w:rPr>
        <w:t>人，营业收入为</w:t>
      </w:r>
      <w:r>
        <w:rPr>
          <w:rFonts w:hint="eastAsia" w:ascii="仿宋_GB2312" w:eastAsia="仿宋_GB2312"/>
          <w:color w:val="000000" w:themeColor="text1"/>
          <w:kern w:val="0"/>
          <w:sz w:val="24"/>
          <w:u w:val="single"/>
          <w14:textFill>
            <w14:solidFill>
              <w14:schemeClr w14:val="tx1"/>
            </w14:solidFill>
          </w14:textFill>
        </w:rPr>
        <w:t xml:space="preserve">     </w:t>
      </w:r>
      <w:r>
        <w:rPr>
          <w:rFonts w:hint="eastAsia" w:ascii="仿宋_GB2312" w:eastAsia="仿宋_GB2312"/>
          <w:color w:val="000000" w:themeColor="text1"/>
          <w:kern w:val="0"/>
          <w:sz w:val="24"/>
          <w14:textFill>
            <w14:solidFill>
              <w14:schemeClr w14:val="tx1"/>
            </w14:solidFill>
          </w14:textFill>
        </w:rPr>
        <w:t>万元，资产总额为</w:t>
      </w:r>
      <w:r>
        <w:rPr>
          <w:rFonts w:hint="eastAsia" w:ascii="仿宋_GB2312" w:eastAsia="仿宋_GB2312"/>
          <w:color w:val="000000" w:themeColor="text1"/>
          <w:kern w:val="0"/>
          <w:sz w:val="24"/>
          <w:u w:val="single"/>
          <w14:textFill>
            <w14:solidFill>
              <w14:schemeClr w14:val="tx1"/>
            </w14:solidFill>
          </w14:textFill>
        </w:rPr>
        <w:t xml:space="preserve">     </w:t>
      </w:r>
      <w:r>
        <w:rPr>
          <w:rFonts w:hint="eastAsia" w:ascii="仿宋_GB2312" w:eastAsia="仿宋_GB2312"/>
          <w:color w:val="000000" w:themeColor="text1"/>
          <w:kern w:val="0"/>
          <w:sz w:val="24"/>
          <w14:textFill>
            <w14:solidFill>
              <w14:schemeClr w14:val="tx1"/>
            </w14:solidFill>
          </w14:textFill>
        </w:rPr>
        <w:t>万元</w:t>
      </w:r>
      <w:r>
        <w:rPr>
          <w:rFonts w:hint="eastAsia" w:ascii="仿宋_GB2312" w:eastAsia="仿宋_GB2312"/>
          <w:color w:val="000000" w:themeColor="text1"/>
          <w:kern w:val="0"/>
          <w:sz w:val="24"/>
          <w:vertAlign w:val="superscript"/>
          <w14:textFill>
            <w14:solidFill>
              <w14:schemeClr w14:val="tx1"/>
            </w14:solidFill>
          </w14:textFill>
        </w:rPr>
        <w:t>1</w:t>
      </w:r>
      <w:r>
        <w:rPr>
          <w:rFonts w:hint="eastAsia" w:ascii="仿宋_GB2312" w:eastAsia="仿宋_GB2312"/>
          <w:color w:val="000000" w:themeColor="text1"/>
          <w:kern w:val="0"/>
          <w:sz w:val="24"/>
          <w14:textFill>
            <w14:solidFill>
              <w14:schemeClr w14:val="tx1"/>
            </w14:solidFill>
          </w14:textFill>
        </w:rPr>
        <w:t>，属于</w:t>
      </w:r>
      <w:r>
        <w:rPr>
          <w:rFonts w:hint="eastAsia" w:ascii="仿宋_GB2312" w:eastAsia="仿宋_GB2312"/>
          <w:color w:val="000000" w:themeColor="text1"/>
          <w:kern w:val="0"/>
          <w:sz w:val="24"/>
          <w:u w:val="single"/>
          <w14:textFill>
            <w14:solidFill>
              <w14:schemeClr w14:val="tx1"/>
            </w14:solidFill>
          </w14:textFill>
        </w:rPr>
        <w:t xml:space="preserve">      （中型企业、小型企业、微型企业）</w:t>
      </w:r>
      <w:r>
        <w:rPr>
          <w:rFonts w:hint="eastAsia" w:ascii="仿宋_GB2312" w:eastAsia="仿宋_GB2312"/>
          <w:color w:val="000000" w:themeColor="text1"/>
          <w:kern w:val="0"/>
          <w:sz w:val="24"/>
          <w14:textFill>
            <w14:solidFill>
              <w14:schemeClr w14:val="tx1"/>
            </w14:solidFill>
          </w14:textFill>
        </w:rPr>
        <w:t xml:space="preserve">； </w:t>
      </w:r>
    </w:p>
    <w:p>
      <w:pPr>
        <w:widowControl/>
        <w:spacing w:line="480" w:lineRule="exact"/>
        <w:ind w:firstLine="480" w:firstLineChars="200"/>
        <w:jc w:val="left"/>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 xml:space="preserve">   2. </w:t>
      </w:r>
      <w:r>
        <w:rPr>
          <w:rFonts w:hint="eastAsia" w:ascii="仿宋_GB2312" w:eastAsia="仿宋_GB2312"/>
          <w:color w:val="000000" w:themeColor="text1"/>
          <w:kern w:val="0"/>
          <w:sz w:val="24"/>
          <w:u w:val="single"/>
          <w14:textFill>
            <w14:solidFill>
              <w14:schemeClr w14:val="tx1"/>
            </w14:solidFill>
          </w14:textFill>
        </w:rPr>
        <w:t xml:space="preserve">     （标的名称）</w:t>
      </w:r>
      <w:r>
        <w:rPr>
          <w:rFonts w:hint="eastAsia" w:ascii="仿宋_GB2312" w:eastAsia="仿宋_GB2312"/>
          <w:color w:val="000000" w:themeColor="text1"/>
          <w:kern w:val="0"/>
          <w:sz w:val="24"/>
          <w14:textFill>
            <w14:solidFill>
              <w14:schemeClr w14:val="tx1"/>
            </w14:solidFill>
          </w14:textFill>
        </w:rPr>
        <w:t xml:space="preserve"> ，属于</w:t>
      </w:r>
      <w:r>
        <w:rPr>
          <w:rFonts w:hint="eastAsia" w:ascii="仿宋_GB2312" w:eastAsia="仿宋_GB2312"/>
          <w:color w:val="000000" w:themeColor="text1"/>
          <w:kern w:val="0"/>
          <w:sz w:val="24"/>
          <w:u w:val="single"/>
          <w14:textFill>
            <w14:solidFill>
              <w14:schemeClr w14:val="tx1"/>
            </w14:solidFill>
          </w14:textFill>
        </w:rPr>
        <w:t xml:space="preserve">       （采购文件中明确的所属行业）</w:t>
      </w:r>
      <w:r>
        <w:rPr>
          <w:rFonts w:hint="eastAsia" w:ascii="仿宋_GB2312" w:eastAsia="仿宋_GB2312"/>
          <w:color w:val="000000" w:themeColor="text1"/>
          <w:kern w:val="0"/>
          <w:sz w:val="24"/>
          <w14:textFill>
            <w14:solidFill>
              <w14:schemeClr w14:val="tx1"/>
            </w14:solidFill>
          </w14:textFill>
        </w:rPr>
        <w:t>；承接企业为</w:t>
      </w:r>
      <w:r>
        <w:rPr>
          <w:rFonts w:hint="eastAsia" w:ascii="仿宋_GB2312" w:eastAsia="仿宋_GB2312"/>
          <w:color w:val="000000" w:themeColor="text1"/>
          <w:kern w:val="0"/>
          <w:sz w:val="24"/>
          <w:u w:val="single"/>
          <w14:textFill>
            <w14:solidFill>
              <w14:schemeClr w14:val="tx1"/>
            </w14:solidFill>
          </w14:textFill>
        </w:rPr>
        <w:t xml:space="preserve">     （企业名称）</w:t>
      </w:r>
      <w:r>
        <w:rPr>
          <w:rFonts w:hint="eastAsia" w:ascii="仿宋_GB2312" w:eastAsia="仿宋_GB2312"/>
          <w:color w:val="000000" w:themeColor="text1"/>
          <w:kern w:val="0"/>
          <w:sz w:val="24"/>
          <w14:textFill>
            <w14:solidFill>
              <w14:schemeClr w14:val="tx1"/>
            </w14:solidFill>
          </w14:textFill>
        </w:rPr>
        <w:t>，从业人员</w:t>
      </w:r>
      <w:r>
        <w:rPr>
          <w:rFonts w:hint="eastAsia" w:ascii="仿宋_GB2312" w:eastAsia="仿宋_GB2312"/>
          <w:color w:val="000000" w:themeColor="text1"/>
          <w:kern w:val="0"/>
          <w:sz w:val="24"/>
          <w:u w:val="single"/>
          <w14:textFill>
            <w14:solidFill>
              <w14:schemeClr w14:val="tx1"/>
            </w14:solidFill>
          </w14:textFill>
        </w:rPr>
        <w:t xml:space="preserve">     </w:t>
      </w:r>
      <w:r>
        <w:rPr>
          <w:rFonts w:hint="eastAsia" w:ascii="仿宋_GB2312" w:eastAsia="仿宋_GB2312"/>
          <w:color w:val="000000" w:themeColor="text1"/>
          <w:kern w:val="0"/>
          <w:sz w:val="24"/>
          <w14:textFill>
            <w14:solidFill>
              <w14:schemeClr w14:val="tx1"/>
            </w14:solidFill>
          </w14:textFill>
        </w:rPr>
        <w:t>人，营业收入为</w:t>
      </w:r>
      <w:r>
        <w:rPr>
          <w:rFonts w:hint="eastAsia" w:ascii="仿宋_GB2312" w:eastAsia="仿宋_GB2312"/>
          <w:color w:val="000000" w:themeColor="text1"/>
          <w:kern w:val="0"/>
          <w:sz w:val="24"/>
          <w:u w:val="single"/>
          <w14:textFill>
            <w14:solidFill>
              <w14:schemeClr w14:val="tx1"/>
            </w14:solidFill>
          </w14:textFill>
        </w:rPr>
        <w:t xml:space="preserve">     </w:t>
      </w:r>
      <w:r>
        <w:rPr>
          <w:rFonts w:hint="eastAsia" w:ascii="仿宋_GB2312" w:eastAsia="仿宋_GB2312"/>
          <w:color w:val="000000" w:themeColor="text1"/>
          <w:kern w:val="0"/>
          <w:sz w:val="24"/>
          <w14:textFill>
            <w14:solidFill>
              <w14:schemeClr w14:val="tx1"/>
            </w14:solidFill>
          </w14:textFill>
        </w:rPr>
        <w:t>万元，资产总额为</w:t>
      </w:r>
      <w:r>
        <w:rPr>
          <w:rFonts w:hint="eastAsia" w:ascii="仿宋_GB2312" w:eastAsia="仿宋_GB2312"/>
          <w:color w:val="000000" w:themeColor="text1"/>
          <w:kern w:val="0"/>
          <w:sz w:val="24"/>
          <w:u w:val="single"/>
          <w14:textFill>
            <w14:solidFill>
              <w14:schemeClr w14:val="tx1"/>
            </w14:solidFill>
          </w14:textFill>
        </w:rPr>
        <w:t xml:space="preserve">     </w:t>
      </w:r>
      <w:r>
        <w:rPr>
          <w:rFonts w:hint="eastAsia" w:ascii="仿宋_GB2312" w:eastAsia="仿宋_GB2312"/>
          <w:color w:val="000000" w:themeColor="text1"/>
          <w:kern w:val="0"/>
          <w:sz w:val="24"/>
          <w14:textFill>
            <w14:solidFill>
              <w14:schemeClr w14:val="tx1"/>
            </w14:solidFill>
          </w14:textFill>
        </w:rPr>
        <w:t>万元，属于</w:t>
      </w:r>
      <w:r>
        <w:rPr>
          <w:rFonts w:hint="eastAsia" w:ascii="仿宋_GB2312" w:eastAsia="仿宋_GB2312"/>
          <w:color w:val="000000" w:themeColor="text1"/>
          <w:kern w:val="0"/>
          <w:sz w:val="24"/>
          <w:u w:val="single"/>
          <w14:textFill>
            <w14:solidFill>
              <w14:schemeClr w14:val="tx1"/>
            </w14:solidFill>
          </w14:textFill>
        </w:rPr>
        <w:t xml:space="preserve">      （中型企业、小型企业、微型企业）</w:t>
      </w:r>
      <w:r>
        <w:rPr>
          <w:rFonts w:hint="eastAsia" w:ascii="仿宋_GB2312" w:eastAsia="仿宋_GB2312"/>
          <w:color w:val="000000" w:themeColor="text1"/>
          <w:kern w:val="0"/>
          <w:sz w:val="24"/>
          <w14:textFill>
            <w14:solidFill>
              <w14:schemeClr w14:val="tx1"/>
            </w14:solidFill>
          </w14:textFill>
        </w:rPr>
        <w:t xml:space="preserve">； </w:t>
      </w:r>
    </w:p>
    <w:p>
      <w:pPr>
        <w:widowControl/>
        <w:spacing w:line="480" w:lineRule="exact"/>
        <w:ind w:firstLine="480" w:firstLineChars="200"/>
        <w:jc w:val="left"/>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w:t>
      </w:r>
    </w:p>
    <w:p>
      <w:pPr>
        <w:widowControl/>
        <w:spacing w:line="480" w:lineRule="exact"/>
        <w:ind w:firstLine="480" w:firstLineChars="200"/>
        <w:jc w:val="left"/>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以上企业，不属于大企业的分支机构，不存在控股股东为大企业的情形，也不存在与大企业的负责人为同一人的情形。</w:t>
      </w:r>
    </w:p>
    <w:p>
      <w:pPr>
        <w:widowControl/>
        <w:spacing w:line="480" w:lineRule="exact"/>
        <w:ind w:firstLine="480" w:firstLineChars="200"/>
        <w:jc w:val="left"/>
        <w:rPr>
          <w:rFonts w:ascii="仿宋" w:hAnsi="仿宋"/>
          <w:color w:val="000000" w:themeColor="text1"/>
          <w:szCs w:val="21"/>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本企业对上述声明内容的真实性负责。如有虚假，将依 法承担相应责任。</w:t>
      </w:r>
      <w:r>
        <w:rPr>
          <w:rFonts w:hint="eastAsia" w:ascii="仿宋" w:hAnsi="仿宋"/>
          <w:color w:val="000000" w:themeColor="text1"/>
          <w14:textFill>
            <w14:solidFill>
              <w14:schemeClr w14:val="tx1"/>
            </w14:solidFill>
          </w14:textFill>
        </w:rPr>
        <w:t xml:space="preserve"> </w:t>
      </w:r>
    </w:p>
    <w:p>
      <w:pPr>
        <w:adjustRightInd w:val="0"/>
        <w:snapToGrid w:val="0"/>
        <w:spacing w:line="480" w:lineRule="exact"/>
        <w:ind w:right="105" w:rightChars="50" w:firstLine="42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kern w:val="0"/>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注：投标人为非中小企业的，无需填写此声明函。</w:t>
      </w:r>
    </w:p>
    <w:p>
      <w:pPr>
        <w:adjustRightInd w:val="0"/>
        <w:snapToGrid w:val="0"/>
        <w:spacing w:line="360" w:lineRule="auto"/>
        <w:ind w:right="105" w:rightChars="50" w:firstLine="544" w:firstLineChars="227"/>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w:t>
      </w:r>
    </w:p>
    <w:p>
      <w:pPr>
        <w:adjustRightInd w:val="0"/>
        <w:snapToGrid w:val="0"/>
        <w:spacing w:line="480" w:lineRule="auto"/>
        <w:ind w:right="105" w:rightChars="5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投标人名称（加盖单位公章）：</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adjustRightInd w:val="0"/>
        <w:snapToGrid w:val="0"/>
        <w:spacing w:line="480" w:lineRule="auto"/>
        <w:ind w:right="105" w:rightChars="50"/>
        <w:jc w:val="left"/>
        <w:rPr>
          <w:rFonts w:ascii="仿宋" w:hAnsi="仿宋"/>
          <w:color w:val="000000" w:themeColor="text1"/>
          <w:szCs w:val="21"/>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日 </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期：</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 w:hAnsi="仿宋"/>
          <w:color w:val="000000" w:themeColor="text1"/>
          <w14:textFill>
            <w14:solidFill>
              <w14:schemeClr w14:val="tx1"/>
            </w14:solidFill>
          </w14:textFill>
        </w:rPr>
        <w:t xml:space="preserve"> </w:t>
      </w:r>
    </w:p>
    <w:p>
      <w:pPr>
        <w:adjustRightInd w:val="0"/>
        <w:snapToGrid w:val="0"/>
        <w:spacing w:line="360" w:lineRule="auto"/>
        <w:ind w:right="105" w:rightChars="50" w:firstLine="480" w:firstLineChars="200"/>
        <w:jc w:val="left"/>
        <w:rPr>
          <w:rFonts w:ascii="仿宋_GB2312" w:eastAsia="仿宋_GB2312"/>
          <w:b/>
          <w:bCs/>
          <w:color w:val="000000" w:themeColor="text1"/>
          <w:kern w:val="0"/>
          <w:sz w:val="24"/>
          <w14:textFill>
            <w14:solidFill>
              <w14:schemeClr w14:val="tx1"/>
            </w14:solidFill>
          </w14:textFill>
        </w:rPr>
      </w:pPr>
    </w:p>
    <w:p>
      <w:pPr>
        <w:adjustRightInd w:val="0"/>
        <w:snapToGrid w:val="0"/>
        <w:spacing w:line="360" w:lineRule="auto"/>
        <w:ind w:right="105" w:rightChars="50" w:firstLine="480" w:firstLineChars="200"/>
        <w:jc w:val="left"/>
        <w:rPr>
          <w:rFonts w:ascii="仿宋_GB2312" w:eastAsia="仿宋_GB2312"/>
          <w:b/>
          <w:bCs/>
          <w:color w:val="000000" w:themeColor="text1"/>
          <w:kern w:val="0"/>
          <w:sz w:val="24"/>
          <w14:textFill>
            <w14:solidFill>
              <w14:schemeClr w14:val="tx1"/>
            </w14:solidFill>
          </w14:textFill>
        </w:rPr>
      </w:pPr>
      <w:r>
        <w:rPr>
          <w:rFonts w:hint="eastAsia" w:ascii="仿宋_GB2312" w:eastAsia="仿宋_GB2312"/>
          <w:b/>
          <w:bCs/>
          <w:color w:val="000000" w:themeColor="text1"/>
          <w:kern w:val="0"/>
          <w:sz w:val="24"/>
          <w14:textFill>
            <w14:solidFill>
              <w14:schemeClr w14:val="tx1"/>
            </w14:solidFill>
          </w14:textFill>
        </w:rPr>
        <w:t>1从业人员、营业收入、资产总额填报上一年度数据，无上一年度数据的新成立企业可不填报。</w:t>
      </w:r>
    </w:p>
    <w:p>
      <w:pPr>
        <w:pStyle w:val="3"/>
        <w:adjustRightInd w:val="0"/>
        <w:snapToGrid w:val="0"/>
        <w:spacing w:before="0" w:after="0" w:line="240" w:lineRule="auto"/>
        <w:jc w:val="left"/>
        <w:rPr>
          <w:rFonts w:ascii="仿宋_GB2312" w:hAnsi="仿宋" w:eastAsia="仿宋_GB2312" w:cs="仿宋_GB2312"/>
          <w:color w:val="000000" w:themeColor="text1"/>
          <w:szCs w:val="28"/>
          <w14:textFill>
            <w14:solidFill>
              <w14:schemeClr w14:val="tx1"/>
            </w14:solidFill>
          </w14:textFill>
        </w:rPr>
      </w:pPr>
      <w:r>
        <w:rPr>
          <w:rFonts w:hint="eastAsia" w:ascii="仿宋_GB2312" w:hAnsi="仿宋" w:eastAsia="仿宋_GB2312" w:cs="仿宋_GB2312"/>
          <w:color w:val="000000" w:themeColor="text1"/>
          <w:szCs w:val="28"/>
          <w14:textFill>
            <w14:solidFill>
              <w14:schemeClr w14:val="tx1"/>
            </w14:solidFill>
          </w14:textFill>
        </w:rPr>
        <w:t>格式18</w:t>
      </w:r>
    </w:p>
    <w:p>
      <w:pPr>
        <w:spacing w:before="319" w:beforeLines="100" w:after="319" w:afterLines="100" w:line="360" w:lineRule="auto"/>
        <w:ind w:right="-21" w:rightChars="-10"/>
        <w:jc w:val="center"/>
        <w:rPr>
          <w:rFonts w:ascii="方正小标宋简体" w:hAnsi="仿宋" w:eastAsia="方正小标宋简体" w:cs="仿宋_GB2312"/>
          <w:color w:val="000000" w:themeColor="text1"/>
          <w:sz w:val="32"/>
          <w:szCs w:val="32"/>
          <w14:textFill>
            <w14:solidFill>
              <w14:schemeClr w14:val="tx1"/>
            </w14:solidFill>
          </w14:textFill>
        </w:rPr>
      </w:pPr>
      <w:bookmarkStart w:id="104" w:name="_Toc21675_WPSOffice_Level2"/>
      <w:bookmarkStart w:id="105" w:name="_Toc25502_WPSOffice_Level2"/>
      <w:r>
        <w:rPr>
          <w:rFonts w:hint="eastAsia" w:ascii="方正小标宋简体" w:hAnsi="仿宋" w:eastAsia="方正小标宋简体" w:cs="仿宋_GB2312"/>
          <w:color w:val="000000" w:themeColor="text1"/>
          <w:sz w:val="32"/>
          <w:szCs w:val="32"/>
          <w14:textFill>
            <w14:solidFill>
              <w14:schemeClr w14:val="tx1"/>
            </w14:solidFill>
          </w14:textFill>
        </w:rPr>
        <w:t>制造商企业（单位）类型声明函</w:t>
      </w:r>
      <w:bookmarkEnd w:id="104"/>
      <w:bookmarkEnd w:id="105"/>
      <w:r>
        <w:rPr>
          <w:rFonts w:hint="eastAsia" w:ascii="方正小标宋简体" w:hAnsi="仿宋" w:eastAsia="方正小标宋简体" w:cs="仿宋_GB2312"/>
          <w:color w:val="000000" w:themeColor="text1"/>
          <w:sz w:val="32"/>
          <w:szCs w:val="32"/>
          <w14:textFill>
            <w14:solidFill>
              <w14:schemeClr w14:val="tx1"/>
            </w14:solidFill>
          </w14:textFill>
        </w:rPr>
        <w:t>（本项目不适用）</w:t>
      </w: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本企业（单位）作为</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单位的</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项目的伴随货物制造商，参加政府采购活动。根据《政府采购促进中小企业发展管理办法》（财库</w:t>
      </w:r>
      <w:r>
        <w:rPr>
          <w:rFonts w:hint="eastAsia" w:ascii="微软雅黑" w:hAnsi="微软雅黑" w:eastAsia="微软雅黑" w:cs="微软雅黑"/>
          <w:color w:val="000000" w:themeColor="text1"/>
          <w:sz w:val="24"/>
          <w14:textFill>
            <w14:solidFill>
              <w14:schemeClr w14:val="tx1"/>
            </w14:solidFill>
          </w14:textFill>
        </w:rPr>
        <w:t>﹝</w:t>
      </w:r>
      <w:r>
        <w:rPr>
          <w:rFonts w:hint="eastAsia" w:ascii="仿宋_GB2312" w:hAnsi="仿宋" w:eastAsia="仿宋_GB2312" w:cs="仿宋_GB2312"/>
          <w:color w:val="000000" w:themeColor="text1"/>
          <w:sz w:val="24"/>
          <w14:textFill>
            <w14:solidFill>
              <w14:schemeClr w14:val="tx1"/>
            </w14:solidFill>
          </w14:textFill>
        </w:rPr>
        <w:t>2020</w:t>
      </w:r>
      <w:r>
        <w:rPr>
          <w:rFonts w:hint="eastAsia" w:ascii="微软雅黑" w:hAnsi="微软雅黑" w:eastAsia="微软雅黑" w:cs="微软雅黑"/>
          <w:color w:val="000000" w:themeColor="text1"/>
          <w:sz w:val="24"/>
          <w14:textFill>
            <w14:solidFill>
              <w14:schemeClr w14:val="tx1"/>
            </w14:solidFill>
          </w14:textFill>
        </w:rPr>
        <w:t>﹞</w:t>
      </w:r>
      <w:r>
        <w:rPr>
          <w:rFonts w:hint="eastAsia" w:ascii="仿宋_GB2312" w:hAnsi="仿宋" w:eastAsia="仿宋_GB2312" w:cs="仿宋_GB2312"/>
          <w:color w:val="000000" w:themeColor="text1"/>
          <w:sz w:val="24"/>
          <w14:textFill>
            <w14:solidFill>
              <w14:schemeClr w14:val="tx1"/>
            </w14:solidFill>
          </w14:textFill>
        </w:rPr>
        <w:t>46 号），《工业和信息化部、国家统计局、国家发展和改革委员会、财政部关于印发中小企业划型标准规定的通知》（工信部联企业[2011]300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号）的有关规定，作出如下声明：</w:t>
      </w: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本企业（单位）为</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（请填写：中型、小型、微型）企业。</w:t>
      </w: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本企业（单位）</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（请填写：是、不是）监狱企业。后附省级以上监狱管理局、戒毒管理局（含新疆生产建设兵团）出具的属于监狱企业的证明文件。</w:t>
      </w: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本企业（单位）</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（请填写：是、不是）残疾人福利性单位。</w:t>
      </w: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本次投标提供的伴随货物（详见下表）是本企业（单位）制造的。</w:t>
      </w: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本企业（单位）对上述声明的真实性负责。如有虚假，将依法承担相应责任。</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17"/>
        <w:gridCol w:w="143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3" w:type="dxa"/>
            <w:vAlign w:val="center"/>
          </w:tcPr>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序号</w:t>
            </w:r>
          </w:p>
        </w:tc>
        <w:tc>
          <w:tcPr>
            <w:tcW w:w="1582" w:type="dxa"/>
            <w:vAlign w:val="center"/>
          </w:tcPr>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品  名</w:t>
            </w:r>
          </w:p>
        </w:tc>
        <w:tc>
          <w:tcPr>
            <w:tcW w:w="1587" w:type="dxa"/>
            <w:vAlign w:val="center"/>
          </w:tcPr>
          <w:p>
            <w:pPr>
              <w:widowControl/>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数量</w:t>
            </w:r>
          </w:p>
        </w:tc>
        <w:tc>
          <w:tcPr>
            <w:tcW w:w="1417" w:type="dxa"/>
            <w:vAlign w:val="center"/>
          </w:tcPr>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规格型号</w:t>
            </w:r>
          </w:p>
        </w:tc>
        <w:tc>
          <w:tcPr>
            <w:tcW w:w="1437" w:type="dxa"/>
            <w:vAlign w:val="center"/>
          </w:tcPr>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生产厂家</w:t>
            </w:r>
          </w:p>
        </w:tc>
        <w:tc>
          <w:tcPr>
            <w:tcW w:w="1344" w:type="dxa"/>
            <w:vAlign w:val="center"/>
          </w:tcPr>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53" w:type="dxa"/>
            <w:vAlign w:val="center"/>
          </w:tcPr>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w:t>
            </w:r>
          </w:p>
        </w:tc>
        <w:tc>
          <w:tcPr>
            <w:tcW w:w="1582" w:type="dxa"/>
            <w:vAlign w:val="center"/>
          </w:tcPr>
          <w:p>
            <w:pPr>
              <w:jc w:val="center"/>
              <w:rPr>
                <w:rFonts w:ascii="仿宋_GB2312" w:hAnsi="仿宋" w:eastAsia="仿宋_GB2312" w:cs="仿宋_GB2312"/>
                <w:color w:val="000000" w:themeColor="text1"/>
                <w:sz w:val="24"/>
                <w14:textFill>
                  <w14:solidFill>
                    <w14:schemeClr w14:val="tx1"/>
                  </w14:solidFill>
                </w14:textFill>
              </w:rPr>
            </w:pPr>
          </w:p>
        </w:tc>
        <w:tc>
          <w:tcPr>
            <w:tcW w:w="1587" w:type="dxa"/>
            <w:vAlign w:val="center"/>
          </w:tcPr>
          <w:p>
            <w:pPr>
              <w:jc w:val="center"/>
              <w:rPr>
                <w:rFonts w:ascii="仿宋_GB2312" w:hAnsi="仿宋" w:eastAsia="仿宋_GB2312" w:cs="仿宋_GB2312"/>
                <w:color w:val="000000" w:themeColor="text1"/>
                <w:sz w:val="24"/>
                <w14:textFill>
                  <w14:solidFill>
                    <w14:schemeClr w14:val="tx1"/>
                  </w14:solidFill>
                </w14:textFill>
              </w:rPr>
            </w:pPr>
          </w:p>
        </w:tc>
        <w:tc>
          <w:tcPr>
            <w:tcW w:w="1417" w:type="dxa"/>
            <w:vAlign w:val="center"/>
          </w:tcPr>
          <w:p>
            <w:pPr>
              <w:jc w:val="center"/>
              <w:rPr>
                <w:rFonts w:ascii="仿宋_GB2312" w:hAnsi="仿宋" w:eastAsia="仿宋_GB2312" w:cs="仿宋_GB2312"/>
                <w:color w:val="000000" w:themeColor="text1"/>
                <w:sz w:val="24"/>
                <w14:textFill>
                  <w14:solidFill>
                    <w14:schemeClr w14:val="tx1"/>
                  </w14:solidFill>
                </w14:textFill>
              </w:rPr>
            </w:pPr>
          </w:p>
        </w:tc>
        <w:tc>
          <w:tcPr>
            <w:tcW w:w="1437" w:type="dxa"/>
            <w:vAlign w:val="center"/>
          </w:tcPr>
          <w:p>
            <w:pPr>
              <w:jc w:val="center"/>
              <w:rPr>
                <w:rFonts w:ascii="仿宋_GB2312" w:hAnsi="仿宋" w:eastAsia="仿宋_GB2312" w:cs="仿宋_GB2312"/>
                <w:color w:val="000000" w:themeColor="text1"/>
                <w:sz w:val="24"/>
                <w14:textFill>
                  <w14:solidFill>
                    <w14:schemeClr w14:val="tx1"/>
                  </w14:solidFill>
                </w14:textFill>
              </w:rPr>
            </w:pPr>
          </w:p>
        </w:tc>
        <w:tc>
          <w:tcPr>
            <w:tcW w:w="1344" w:type="dxa"/>
            <w:vAlign w:val="center"/>
          </w:tcPr>
          <w:p>
            <w:pPr>
              <w:spacing w:line="36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53" w:type="dxa"/>
            <w:vAlign w:val="center"/>
          </w:tcPr>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w:t>
            </w:r>
          </w:p>
        </w:tc>
        <w:tc>
          <w:tcPr>
            <w:tcW w:w="1582" w:type="dxa"/>
            <w:vAlign w:val="center"/>
          </w:tcPr>
          <w:p>
            <w:pPr>
              <w:jc w:val="center"/>
              <w:rPr>
                <w:rFonts w:ascii="仿宋_GB2312" w:hAnsi="仿宋" w:eastAsia="仿宋_GB2312" w:cs="仿宋_GB2312"/>
                <w:color w:val="000000" w:themeColor="text1"/>
                <w:sz w:val="24"/>
                <w14:textFill>
                  <w14:solidFill>
                    <w14:schemeClr w14:val="tx1"/>
                  </w14:solidFill>
                </w14:textFill>
              </w:rPr>
            </w:pPr>
          </w:p>
        </w:tc>
        <w:tc>
          <w:tcPr>
            <w:tcW w:w="1587" w:type="dxa"/>
            <w:vAlign w:val="center"/>
          </w:tcPr>
          <w:p>
            <w:pPr>
              <w:jc w:val="center"/>
              <w:rPr>
                <w:rFonts w:ascii="仿宋_GB2312" w:hAnsi="仿宋" w:eastAsia="仿宋_GB2312" w:cs="仿宋_GB2312"/>
                <w:color w:val="000000" w:themeColor="text1"/>
                <w:sz w:val="24"/>
                <w14:textFill>
                  <w14:solidFill>
                    <w14:schemeClr w14:val="tx1"/>
                  </w14:solidFill>
                </w14:textFill>
              </w:rPr>
            </w:pPr>
          </w:p>
        </w:tc>
        <w:tc>
          <w:tcPr>
            <w:tcW w:w="1417" w:type="dxa"/>
            <w:vAlign w:val="center"/>
          </w:tcPr>
          <w:p>
            <w:pPr>
              <w:jc w:val="center"/>
              <w:rPr>
                <w:rFonts w:ascii="仿宋_GB2312" w:hAnsi="仿宋" w:eastAsia="仿宋_GB2312" w:cs="仿宋_GB2312"/>
                <w:color w:val="000000" w:themeColor="text1"/>
                <w:sz w:val="24"/>
                <w14:textFill>
                  <w14:solidFill>
                    <w14:schemeClr w14:val="tx1"/>
                  </w14:solidFill>
                </w14:textFill>
              </w:rPr>
            </w:pPr>
          </w:p>
        </w:tc>
        <w:tc>
          <w:tcPr>
            <w:tcW w:w="1437" w:type="dxa"/>
            <w:vAlign w:val="center"/>
          </w:tcPr>
          <w:p>
            <w:pPr>
              <w:jc w:val="center"/>
              <w:rPr>
                <w:rFonts w:ascii="仿宋_GB2312" w:hAnsi="仿宋" w:eastAsia="仿宋_GB2312" w:cs="仿宋_GB2312"/>
                <w:color w:val="000000" w:themeColor="text1"/>
                <w:sz w:val="24"/>
                <w14:textFill>
                  <w14:solidFill>
                    <w14:schemeClr w14:val="tx1"/>
                  </w14:solidFill>
                </w14:textFill>
              </w:rPr>
            </w:pPr>
          </w:p>
        </w:tc>
        <w:tc>
          <w:tcPr>
            <w:tcW w:w="1344" w:type="dxa"/>
            <w:vAlign w:val="center"/>
          </w:tcPr>
          <w:p>
            <w:pPr>
              <w:spacing w:line="36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53" w:type="dxa"/>
            <w:vAlign w:val="center"/>
          </w:tcPr>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w:t>
            </w:r>
          </w:p>
        </w:tc>
        <w:tc>
          <w:tcPr>
            <w:tcW w:w="1582" w:type="dxa"/>
            <w:vAlign w:val="center"/>
          </w:tcPr>
          <w:p>
            <w:pPr>
              <w:jc w:val="center"/>
              <w:rPr>
                <w:rFonts w:ascii="仿宋_GB2312" w:hAnsi="仿宋" w:eastAsia="仿宋_GB2312" w:cs="仿宋_GB2312"/>
                <w:color w:val="000000" w:themeColor="text1"/>
                <w:sz w:val="24"/>
                <w14:textFill>
                  <w14:solidFill>
                    <w14:schemeClr w14:val="tx1"/>
                  </w14:solidFill>
                </w14:textFill>
              </w:rPr>
            </w:pPr>
          </w:p>
        </w:tc>
        <w:tc>
          <w:tcPr>
            <w:tcW w:w="1587" w:type="dxa"/>
            <w:vAlign w:val="center"/>
          </w:tcPr>
          <w:p>
            <w:pPr>
              <w:jc w:val="center"/>
              <w:rPr>
                <w:rFonts w:ascii="仿宋_GB2312" w:hAnsi="仿宋" w:eastAsia="仿宋_GB2312" w:cs="仿宋_GB2312"/>
                <w:color w:val="000000" w:themeColor="text1"/>
                <w:sz w:val="24"/>
                <w14:textFill>
                  <w14:solidFill>
                    <w14:schemeClr w14:val="tx1"/>
                  </w14:solidFill>
                </w14:textFill>
              </w:rPr>
            </w:pPr>
          </w:p>
        </w:tc>
        <w:tc>
          <w:tcPr>
            <w:tcW w:w="1417" w:type="dxa"/>
            <w:vAlign w:val="center"/>
          </w:tcPr>
          <w:p>
            <w:pPr>
              <w:jc w:val="center"/>
              <w:rPr>
                <w:rFonts w:ascii="仿宋_GB2312" w:hAnsi="仿宋" w:eastAsia="仿宋_GB2312" w:cs="仿宋_GB2312"/>
                <w:color w:val="000000" w:themeColor="text1"/>
                <w:sz w:val="24"/>
                <w14:textFill>
                  <w14:solidFill>
                    <w14:schemeClr w14:val="tx1"/>
                  </w14:solidFill>
                </w14:textFill>
              </w:rPr>
            </w:pPr>
          </w:p>
        </w:tc>
        <w:tc>
          <w:tcPr>
            <w:tcW w:w="1437" w:type="dxa"/>
            <w:vAlign w:val="center"/>
          </w:tcPr>
          <w:p>
            <w:pPr>
              <w:jc w:val="center"/>
              <w:rPr>
                <w:rFonts w:ascii="仿宋_GB2312" w:hAnsi="仿宋" w:eastAsia="仿宋_GB2312" w:cs="仿宋_GB2312"/>
                <w:color w:val="000000" w:themeColor="text1"/>
                <w:sz w:val="24"/>
                <w14:textFill>
                  <w14:solidFill>
                    <w14:schemeClr w14:val="tx1"/>
                  </w14:solidFill>
                </w14:textFill>
              </w:rPr>
            </w:pPr>
          </w:p>
        </w:tc>
        <w:tc>
          <w:tcPr>
            <w:tcW w:w="1344" w:type="dxa"/>
            <w:vAlign w:val="center"/>
          </w:tcPr>
          <w:p>
            <w:pPr>
              <w:spacing w:line="36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320" w:type="dxa"/>
            <w:gridSpan w:val="6"/>
            <w:vAlign w:val="center"/>
          </w:tcPr>
          <w:p>
            <w:pPr>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lang w:val="zh-CN"/>
                <w14:textFill>
                  <w14:solidFill>
                    <w14:schemeClr w14:val="tx1"/>
                  </w14:solidFill>
                </w14:textFill>
              </w:rPr>
              <w:t>投标文件中所提供的以上产品为本企业生产的产品，</w:t>
            </w:r>
            <w:r>
              <w:rPr>
                <w:rFonts w:hint="eastAsia" w:ascii="仿宋_GB2312" w:hAnsi="仿宋" w:eastAsia="仿宋_GB2312" w:cs="仿宋_GB2312"/>
                <w:b/>
                <w:color w:val="000000" w:themeColor="text1"/>
                <w:sz w:val="24"/>
                <w14:textFill>
                  <w14:solidFill>
                    <w14:schemeClr w14:val="tx1"/>
                  </w14:solidFill>
                </w14:textFill>
              </w:rPr>
              <w:t>如有虚假</w:t>
            </w:r>
            <w:r>
              <w:rPr>
                <w:rFonts w:hint="eastAsia" w:ascii="仿宋_GB2312" w:hAnsi="仿宋" w:eastAsia="仿宋_GB2312" w:cs="仿宋_GB2312"/>
                <w:b/>
                <w:color w:val="000000" w:themeColor="text1"/>
                <w:sz w:val="24"/>
                <w:lang w:val="zh-CN"/>
                <w14:textFill>
                  <w14:solidFill>
                    <w14:schemeClr w14:val="tx1"/>
                  </w14:solidFill>
                </w14:textFill>
              </w:rPr>
              <w:t>，我公司承担由此产生的一切后果</w:t>
            </w:r>
            <w:r>
              <w:rPr>
                <w:rFonts w:hint="eastAsia" w:ascii="仿宋_GB2312" w:hAnsi="仿宋" w:eastAsia="仿宋_GB2312" w:cs="仿宋_GB2312"/>
                <w:color w:val="000000" w:themeColor="text1"/>
                <w:sz w:val="24"/>
                <w:lang w:val="zh-CN"/>
                <w14:textFill>
                  <w14:solidFill>
                    <w14:schemeClr w14:val="tx1"/>
                  </w14:solidFill>
                </w14:textFill>
              </w:rPr>
              <w:t>。</w:t>
            </w:r>
          </w:p>
        </w:tc>
      </w:tr>
    </w:tbl>
    <w:p>
      <w:pPr>
        <w:adjustRightInd w:val="0"/>
        <w:snapToGrid w:val="0"/>
        <w:spacing w:line="480" w:lineRule="auto"/>
        <w:ind w:right="105" w:rightChars="50"/>
        <w:jc w:val="left"/>
        <w:rPr>
          <w:rFonts w:ascii="仿宋_GB2312" w:hAnsi="仿宋" w:eastAsia="仿宋_GB2312" w:cs="仿宋_GB2312"/>
          <w:color w:val="000000" w:themeColor="text1"/>
          <w:sz w:val="24"/>
          <w14:textFill>
            <w14:solidFill>
              <w14:schemeClr w14:val="tx1"/>
            </w14:solidFill>
          </w14:textFill>
        </w:rPr>
      </w:pPr>
    </w:p>
    <w:p>
      <w:pPr>
        <w:adjustRightInd w:val="0"/>
        <w:snapToGrid w:val="0"/>
        <w:spacing w:line="480" w:lineRule="auto"/>
        <w:ind w:right="105" w:rightChars="5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制造商名称（加盖单位公章）：</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 xml:space="preserve"> </w:t>
      </w:r>
    </w:p>
    <w:p>
      <w:pPr>
        <w:snapToGrid w:val="0"/>
        <w:spacing w:line="360" w:lineRule="auto"/>
        <w:rPr>
          <w:rFonts w:ascii="仿宋_GB2312" w:hAnsi="仿宋" w:eastAsia="仿宋_GB2312" w:cs="仿宋_GB2312"/>
          <w:color w:val="000000" w:themeColor="text1"/>
          <w:sz w:val="24"/>
          <w:u w:val="single"/>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xml:space="preserve">日 </w:t>
      </w:r>
      <w:r>
        <w:rPr>
          <w:rFonts w:ascii="仿宋_GB2312" w:hAnsi="仿宋" w:eastAsia="仿宋_GB2312" w:cs="仿宋_GB2312"/>
          <w:color w:val="000000" w:themeColor="text1"/>
          <w:sz w:val="24"/>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期：</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pStyle w:val="3"/>
        <w:adjustRightInd w:val="0"/>
        <w:snapToGrid w:val="0"/>
        <w:spacing w:before="0" w:after="0" w:line="240" w:lineRule="auto"/>
        <w:jc w:val="left"/>
        <w:rPr>
          <w:rFonts w:ascii="仿宋_GB2312" w:hAnsi="仿宋" w:eastAsia="仿宋_GB2312" w:cs="仿宋_GB2312"/>
          <w:b w:val="0"/>
          <w:color w:val="000000" w:themeColor="text1"/>
          <w:szCs w:val="28"/>
          <w14:textFill>
            <w14:solidFill>
              <w14:schemeClr w14:val="tx1"/>
            </w14:solidFill>
          </w14:textFill>
        </w:rPr>
      </w:pPr>
      <w:r>
        <w:rPr>
          <w:rFonts w:hint="eastAsia" w:ascii="仿宋_GB2312" w:hAnsi="仿宋" w:eastAsia="仿宋_GB2312" w:cs="仿宋_GB2312"/>
          <w:color w:val="000000" w:themeColor="text1"/>
          <w:szCs w:val="28"/>
          <w14:textFill>
            <w14:solidFill>
              <w14:schemeClr w14:val="tx1"/>
            </w14:solidFill>
          </w14:textFill>
        </w:rPr>
        <w:br w:type="page"/>
      </w:r>
      <w:r>
        <w:rPr>
          <w:rFonts w:hint="eastAsia" w:ascii="仿宋_GB2312" w:hAnsi="仿宋" w:eastAsia="仿宋_GB2312" w:cs="仿宋_GB2312"/>
          <w:color w:val="000000" w:themeColor="text1"/>
          <w:szCs w:val="28"/>
          <w14:textFill>
            <w14:solidFill>
              <w14:schemeClr w14:val="tx1"/>
            </w14:solidFill>
          </w14:textFill>
        </w:rPr>
        <w:t>格式19</w:t>
      </w:r>
    </w:p>
    <w:p>
      <w:pPr>
        <w:spacing w:before="159" w:beforeLines="50" w:after="319" w:afterLines="100" w:line="360" w:lineRule="auto"/>
        <w:ind w:right="-21" w:rightChars="-10"/>
        <w:jc w:val="center"/>
        <w:rPr>
          <w:rFonts w:ascii="方正小标宋简体" w:hAnsi="仿宋" w:eastAsia="方正小标宋简体" w:cs="仿宋_GB2312"/>
          <w:color w:val="000000" w:themeColor="text1"/>
          <w:sz w:val="32"/>
          <w:szCs w:val="32"/>
          <w14:textFill>
            <w14:solidFill>
              <w14:schemeClr w14:val="tx1"/>
            </w14:solidFill>
          </w14:textFill>
        </w:rPr>
      </w:pPr>
      <w:bookmarkStart w:id="106" w:name="_Toc13566_WPSOffice_Level2"/>
      <w:bookmarkStart w:id="107" w:name="_Toc29880_WPSOffice_Level2"/>
      <w:r>
        <w:rPr>
          <w:rFonts w:hint="eastAsia" w:ascii="方正小标宋简体" w:hAnsi="仿宋" w:eastAsia="方正小标宋简体" w:cs="仿宋_GB2312"/>
          <w:color w:val="000000" w:themeColor="text1"/>
          <w:sz w:val="32"/>
          <w:szCs w:val="32"/>
          <w14:textFill>
            <w14:solidFill>
              <w14:schemeClr w14:val="tx1"/>
            </w14:solidFill>
          </w14:textFill>
        </w:rPr>
        <w:t>残疾人福利性单位声明函</w:t>
      </w:r>
      <w:bookmarkEnd w:id="106"/>
      <w:bookmarkEnd w:id="107"/>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本单位郑重声明，根据《财政部 民政部 中国残疾人联合会关于促进残疾人就业政府采购政策的通知》（财库〔2017〕141 号）的规定，本单位为符合条件的残疾人福利性单位，且本单位参加</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单位的</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本单位对上述声明的真实性负责。如有虚假，将依法承担相应责任。</w:t>
      </w: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14:textFill>
            <w14:solidFill>
              <w14:schemeClr w14:val="tx1"/>
            </w14:solidFill>
          </w14:textFill>
        </w:rPr>
      </w:pP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14:textFill>
            <w14:solidFill>
              <w14:schemeClr w14:val="tx1"/>
            </w14:solidFill>
          </w14:textFill>
        </w:rPr>
      </w:pPr>
    </w:p>
    <w:p>
      <w:pPr>
        <w:adjustRightInd w:val="0"/>
        <w:snapToGrid w:val="0"/>
        <w:ind w:right="105" w:rightChars="50" w:firstLine="544" w:firstLineChars="227"/>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注：投标人为非残疾人福利性单位的，无需填写此声明函。</w:t>
      </w:r>
    </w:p>
    <w:p>
      <w:pPr>
        <w:adjustRightInd w:val="0"/>
        <w:snapToGrid w:val="0"/>
        <w:ind w:right="105" w:rightChars="50" w:firstLine="544" w:firstLineChars="227"/>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xml:space="preserve">  </w:t>
      </w:r>
    </w:p>
    <w:p>
      <w:pPr>
        <w:adjustRightInd w:val="0"/>
        <w:snapToGrid w:val="0"/>
        <w:spacing w:line="360" w:lineRule="auto"/>
        <w:ind w:right="105" w:rightChars="50"/>
        <w:jc w:val="left"/>
        <w:rPr>
          <w:rFonts w:ascii="仿宋_GB2312" w:hAnsi="仿宋" w:eastAsia="仿宋_GB2312" w:cs="仿宋_GB2312"/>
          <w:color w:val="000000" w:themeColor="text1"/>
          <w:sz w:val="24"/>
          <w14:textFill>
            <w14:solidFill>
              <w14:schemeClr w14:val="tx1"/>
            </w14:solidFill>
          </w14:textFill>
        </w:rPr>
      </w:pPr>
    </w:p>
    <w:p>
      <w:pPr>
        <w:adjustRightInd w:val="0"/>
        <w:snapToGrid w:val="0"/>
        <w:spacing w:line="360" w:lineRule="auto"/>
        <w:ind w:right="105" w:rightChars="50"/>
        <w:jc w:val="left"/>
        <w:rPr>
          <w:rFonts w:ascii="仿宋_GB2312" w:hAnsi="仿宋" w:eastAsia="仿宋_GB2312" w:cs="仿宋_GB2312"/>
          <w:color w:val="000000" w:themeColor="text1"/>
          <w:sz w:val="24"/>
          <w14:textFill>
            <w14:solidFill>
              <w14:schemeClr w14:val="tx1"/>
            </w14:solidFill>
          </w14:textFill>
        </w:rPr>
      </w:pPr>
    </w:p>
    <w:p>
      <w:pPr>
        <w:adjustRightInd w:val="0"/>
        <w:snapToGrid w:val="0"/>
        <w:spacing w:line="360" w:lineRule="auto"/>
        <w:ind w:right="105" w:rightChars="50"/>
        <w:jc w:val="left"/>
        <w:rPr>
          <w:rFonts w:ascii="仿宋_GB2312" w:hAnsi="仿宋" w:eastAsia="仿宋_GB2312" w:cs="仿宋_GB2312"/>
          <w:color w:val="000000" w:themeColor="text1"/>
          <w:sz w:val="24"/>
          <w14:textFill>
            <w14:solidFill>
              <w14:schemeClr w14:val="tx1"/>
            </w14:solidFill>
          </w14:textFill>
        </w:rPr>
      </w:pPr>
    </w:p>
    <w:p>
      <w:pPr>
        <w:adjustRightInd w:val="0"/>
        <w:snapToGrid w:val="0"/>
        <w:spacing w:line="480" w:lineRule="auto"/>
        <w:ind w:right="105" w:rightChars="5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投标人名称（加盖单位公章）：</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adjustRightInd w:val="0"/>
        <w:snapToGrid w:val="0"/>
        <w:spacing w:line="480" w:lineRule="auto"/>
        <w:ind w:right="105" w:rightChars="50"/>
        <w:jc w:val="left"/>
        <w:rPr>
          <w:rFonts w:ascii="仿宋_GB2312" w:hAnsi="仿宋" w:eastAsia="仿宋_GB2312" w:cs="仿宋_GB2312"/>
          <w:color w:val="000000" w:themeColor="text1"/>
          <w:sz w:val="24"/>
          <w:u w:val="single"/>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xml:space="preserve">日 </w:t>
      </w:r>
      <w:r>
        <w:rPr>
          <w:rFonts w:ascii="仿宋_GB2312" w:hAnsi="仿宋" w:eastAsia="仿宋_GB2312" w:cs="仿宋_GB2312"/>
          <w:color w:val="000000" w:themeColor="text1"/>
          <w:sz w:val="24"/>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期：</w:t>
      </w:r>
      <w:r>
        <w:rPr>
          <w:rFonts w:hint="eastAsia" w:ascii="仿宋_GB2312" w:hAnsi="仿宋" w:eastAsia="仿宋_GB2312" w:cs="仿宋_GB2312"/>
          <w:color w:val="000000" w:themeColor="text1"/>
          <w:sz w:val="24"/>
          <w:u w:val="single"/>
          <w14:textFill>
            <w14:solidFill>
              <w14:schemeClr w14:val="tx1"/>
            </w14:solidFill>
          </w14:textFill>
        </w:rPr>
        <w:t xml:space="preserve">              </w:t>
      </w:r>
    </w:p>
    <w:p>
      <w:pPr>
        <w:pStyle w:val="3"/>
        <w:adjustRightInd w:val="0"/>
        <w:snapToGrid w:val="0"/>
        <w:spacing w:before="0" w:after="0" w:line="240" w:lineRule="auto"/>
        <w:jc w:val="left"/>
        <w:rPr>
          <w:rFonts w:ascii="仿宋_GB2312" w:hAnsi="仿宋" w:eastAsia="仿宋_GB2312" w:cs="仿宋_GB2312"/>
          <w:color w:val="000000" w:themeColor="text1"/>
          <w:szCs w:val="28"/>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br w:type="page"/>
      </w:r>
      <w:r>
        <w:rPr>
          <w:rFonts w:hint="eastAsia" w:ascii="仿宋_GB2312" w:hAnsi="仿宋" w:eastAsia="仿宋_GB2312" w:cs="仿宋_GB2312"/>
          <w:color w:val="000000" w:themeColor="text1"/>
          <w:szCs w:val="28"/>
          <w14:textFill>
            <w14:solidFill>
              <w14:schemeClr w14:val="tx1"/>
            </w14:solidFill>
          </w14:textFill>
        </w:rPr>
        <w:t>格式20</w:t>
      </w:r>
    </w:p>
    <w:p>
      <w:pPr>
        <w:spacing w:before="319" w:beforeLines="100" w:after="319" w:afterLines="100" w:line="360" w:lineRule="auto"/>
        <w:ind w:right="-21" w:rightChars="-10"/>
        <w:jc w:val="center"/>
        <w:rPr>
          <w:rFonts w:ascii="方正小标宋简体" w:hAnsi="仿宋" w:eastAsia="方正小标宋简体" w:cs="仿宋_GB2312"/>
          <w:color w:val="000000" w:themeColor="text1"/>
          <w:sz w:val="32"/>
          <w:szCs w:val="32"/>
          <w14:textFill>
            <w14:solidFill>
              <w14:schemeClr w14:val="tx1"/>
            </w14:solidFill>
          </w14:textFill>
        </w:rPr>
      </w:pPr>
      <w:r>
        <w:rPr>
          <w:rFonts w:hint="eastAsia" w:ascii="方正小标宋简体" w:hAnsi="仿宋" w:eastAsia="方正小标宋简体" w:cs="仿宋_GB2312"/>
          <w:color w:val="000000" w:themeColor="text1"/>
          <w:sz w:val="32"/>
          <w:szCs w:val="32"/>
          <w14:textFill>
            <w14:solidFill>
              <w14:schemeClr w14:val="tx1"/>
            </w14:solidFill>
          </w14:textFill>
        </w:rPr>
        <w:t>聘用建档立卡贫困人员物业公司声明函</w:t>
      </w:r>
      <w:r>
        <w:rPr>
          <w:rFonts w:hint="eastAsia" w:ascii="方正小标宋简体" w:hAnsi="仿宋_GB2312" w:eastAsia="方正小标宋简体" w:cs="仿宋_GB2312"/>
          <w:color w:val="000000" w:themeColor="text1"/>
          <w:sz w:val="32"/>
          <w:szCs w:val="32"/>
          <w14:textFill>
            <w14:solidFill>
              <w14:schemeClr w14:val="tx1"/>
            </w14:solidFill>
          </w14:textFill>
        </w:rPr>
        <w:t>（本项目不适用）</w:t>
      </w: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本单位郑重声明，根据财政部 国务院扶贫办《关于运用政府采购政策支持脱贫攻坚的通知》（财库〔2019〕27 号）的规定，本单位为符合条件的单位，且本单位参加</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单位的</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项目采购活动，由本单位提供物业服务，其中聘用建档立卡贫困人员达到公司员工（含服务外包用工）</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 </w:t>
      </w:r>
      <w:r>
        <w:rPr>
          <w:rFonts w:hint="eastAsia" w:ascii="仿宋_GB2312" w:hAnsi="仿宋" w:eastAsia="仿宋_GB2312" w:cs="仿宋_GB2312"/>
          <w:color w:val="000000" w:themeColor="text1"/>
          <w:sz w:val="24"/>
          <w:szCs w:val="21"/>
          <w14:textFill>
            <w14:solidFill>
              <w14:schemeClr w14:val="tx1"/>
            </w14:solidFill>
          </w14:textFill>
        </w:rPr>
        <w:t>%。</w:t>
      </w: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本单位对上述声明的真实性负责。如有虚假，将依法承担相应责任。</w:t>
      </w:r>
    </w:p>
    <w:p>
      <w:pPr>
        <w:adjustRightInd w:val="0"/>
        <w:snapToGrid w:val="0"/>
        <w:spacing w:line="360" w:lineRule="auto"/>
        <w:ind w:right="105" w:rightChars="50" w:firstLine="544" w:firstLineChars="227"/>
        <w:jc w:val="left"/>
        <w:rPr>
          <w:rFonts w:ascii="仿宋_GB2312" w:hAnsi="仿宋" w:eastAsia="仿宋_GB2312" w:cs="仿宋_GB2312"/>
          <w:b/>
          <w:bCs/>
          <w:color w:val="000000" w:themeColor="text1"/>
          <w:sz w:val="40"/>
          <w:szCs w:val="32"/>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附：物业公司注册所在县扶贫部门出具的聘用建档立卡贫困人员具体数量的证明</w:t>
      </w: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szCs w:val="21"/>
          <w14:textFill>
            <w14:solidFill>
              <w14:schemeClr w14:val="tx1"/>
            </w14:solidFill>
          </w14:textFill>
        </w:rPr>
      </w:pP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注：投标人为非聘用建档立卡贫困人员物业公司的，无需填写此声明函。</w:t>
      </w: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szCs w:val="21"/>
          <w14:textFill>
            <w14:solidFill>
              <w14:schemeClr w14:val="tx1"/>
            </w14:solidFill>
          </w14:textFill>
        </w:rPr>
      </w:pP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szCs w:val="21"/>
          <w14:textFill>
            <w14:solidFill>
              <w14:schemeClr w14:val="tx1"/>
            </w14:solidFill>
          </w14:textFill>
        </w:rPr>
      </w:pP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szCs w:val="21"/>
          <w14:textFill>
            <w14:solidFill>
              <w14:schemeClr w14:val="tx1"/>
            </w14:solidFill>
          </w14:textFill>
        </w:rPr>
      </w:pPr>
    </w:p>
    <w:p>
      <w:pPr>
        <w:adjustRightInd w:val="0"/>
        <w:snapToGrid w:val="0"/>
        <w:spacing w:line="360" w:lineRule="auto"/>
        <w:ind w:right="105" w:rightChars="50" w:firstLine="544" w:firstLineChars="227"/>
        <w:jc w:val="left"/>
        <w:rPr>
          <w:rFonts w:ascii="仿宋_GB2312" w:hAnsi="仿宋" w:eastAsia="仿宋_GB2312" w:cs="仿宋_GB2312"/>
          <w:color w:val="000000" w:themeColor="text1"/>
          <w:sz w:val="24"/>
          <w:szCs w:val="21"/>
          <w14:textFill>
            <w14:solidFill>
              <w14:schemeClr w14:val="tx1"/>
            </w14:solidFill>
          </w14:textFill>
        </w:rPr>
      </w:pPr>
    </w:p>
    <w:p>
      <w:pPr>
        <w:adjustRightInd w:val="0"/>
        <w:snapToGrid w:val="0"/>
        <w:spacing w:line="480" w:lineRule="auto"/>
        <w:ind w:right="105" w:rightChars="50"/>
        <w:jc w:val="left"/>
        <w:rPr>
          <w:rFonts w:ascii="仿宋_GB2312" w:hAnsi="仿宋" w:eastAsia="仿宋_GB2312" w:cs="仿宋_GB2312"/>
          <w:color w:val="000000" w:themeColor="text1"/>
          <w:sz w:val="24"/>
          <w:szCs w:val="21"/>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投标人名称（加盖单位公章）：</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 xml:space="preserve"> </w:t>
      </w:r>
    </w:p>
    <w:p>
      <w:pPr>
        <w:adjustRightInd w:val="0"/>
        <w:snapToGrid w:val="0"/>
        <w:spacing w:line="480" w:lineRule="auto"/>
        <w:ind w:right="105" w:rightChars="50"/>
        <w:jc w:val="left"/>
        <w:rPr>
          <w:rFonts w:ascii="仿宋_GB2312" w:hAnsi="仿宋" w:eastAsia="仿宋_GB2312" w:cs="仿宋_GB2312"/>
          <w:color w:val="000000" w:themeColor="text1"/>
          <w:sz w:val="24"/>
          <w:szCs w:val="21"/>
          <w:u w:val="single"/>
          <w14:textFill>
            <w14:solidFill>
              <w14:schemeClr w14:val="tx1"/>
            </w14:solidFill>
          </w14:textFill>
        </w:rPr>
      </w:pPr>
      <w:r>
        <w:rPr>
          <w:rFonts w:hint="eastAsia" w:ascii="仿宋_GB2312" w:hAnsi="仿宋" w:eastAsia="仿宋_GB2312" w:cs="仿宋_GB2312"/>
          <w:color w:val="000000" w:themeColor="text1"/>
          <w:sz w:val="24"/>
          <w:szCs w:val="21"/>
          <w14:textFill>
            <w14:solidFill>
              <w14:schemeClr w14:val="tx1"/>
            </w14:solidFill>
          </w14:textFill>
        </w:rPr>
        <w:t xml:space="preserve">日 </w:t>
      </w:r>
      <w:r>
        <w:rPr>
          <w:rFonts w:ascii="仿宋_GB2312" w:hAnsi="仿宋" w:eastAsia="仿宋_GB2312" w:cs="仿宋_GB2312"/>
          <w:color w:val="000000" w:themeColor="text1"/>
          <w:sz w:val="24"/>
          <w:szCs w:val="21"/>
          <w14:textFill>
            <w14:solidFill>
              <w14:schemeClr w14:val="tx1"/>
            </w14:solidFill>
          </w14:textFill>
        </w:rPr>
        <w:t xml:space="preserve">     </w:t>
      </w:r>
      <w:r>
        <w:rPr>
          <w:rFonts w:hint="eastAsia" w:ascii="仿宋_GB2312" w:hAnsi="仿宋" w:eastAsia="仿宋_GB2312" w:cs="仿宋_GB2312"/>
          <w:color w:val="000000" w:themeColor="text1"/>
          <w:sz w:val="24"/>
          <w:szCs w:val="21"/>
          <w14:textFill>
            <w14:solidFill>
              <w14:schemeClr w14:val="tx1"/>
            </w14:solidFill>
          </w14:textFill>
        </w:rPr>
        <w:t>期：</w:t>
      </w:r>
      <w:r>
        <w:rPr>
          <w:rFonts w:hint="eastAsia" w:ascii="仿宋_GB2312" w:hAnsi="仿宋" w:eastAsia="仿宋_GB2312" w:cs="仿宋_GB2312"/>
          <w:color w:val="000000" w:themeColor="text1"/>
          <w:sz w:val="24"/>
          <w:szCs w:val="21"/>
          <w:u w:val="single"/>
          <w14:textFill>
            <w14:solidFill>
              <w14:schemeClr w14:val="tx1"/>
            </w14:solidFill>
          </w14:textFill>
        </w:rPr>
        <w:t xml:space="preserve">              </w:t>
      </w:r>
    </w:p>
    <w:p>
      <w:pPr>
        <w:adjustRightInd w:val="0"/>
        <w:snapToGrid w:val="0"/>
        <w:spacing w:line="480" w:lineRule="auto"/>
        <w:ind w:right="105" w:rightChars="50"/>
        <w:jc w:val="left"/>
        <w:rPr>
          <w:rFonts w:ascii="仿宋_GB2312" w:hAnsi="仿宋" w:eastAsia="仿宋_GB2312" w:cs="仿宋_GB2312"/>
          <w:color w:val="000000" w:themeColor="text1"/>
          <w:szCs w:val="21"/>
          <w:u w:val="single"/>
          <w14:textFill>
            <w14:solidFill>
              <w14:schemeClr w14:val="tx1"/>
            </w14:solidFill>
          </w14:textFill>
        </w:rPr>
      </w:pPr>
    </w:p>
    <w:p>
      <w:pPr>
        <w:adjustRightInd w:val="0"/>
        <w:snapToGrid w:val="0"/>
        <w:spacing w:line="480" w:lineRule="auto"/>
        <w:ind w:right="105" w:rightChars="50"/>
        <w:jc w:val="left"/>
        <w:rPr>
          <w:rFonts w:ascii="仿宋_GB2312" w:hAnsi="仿宋" w:eastAsia="仿宋_GB2312" w:cs="仿宋_GB2312"/>
          <w:color w:val="000000" w:themeColor="text1"/>
          <w:szCs w:val="21"/>
          <w:u w:val="single"/>
          <w14:textFill>
            <w14:solidFill>
              <w14:schemeClr w14:val="tx1"/>
            </w14:solidFill>
          </w14:textFill>
        </w:rPr>
      </w:pPr>
    </w:p>
    <w:p>
      <w:pPr>
        <w:adjustRightInd w:val="0"/>
        <w:snapToGrid w:val="0"/>
        <w:spacing w:line="480" w:lineRule="auto"/>
        <w:ind w:right="105" w:rightChars="50"/>
        <w:jc w:val="left"/>
        <w:rPr>
          <w:rFonts w:ascii="仿宋_GB2312" w:hAnsi="仿宋" w:eastAsia="仿宋_GB2312" w:cs="仿宋_GB2312"/>
          <w:color w:val="000000" w:themeColor="text1"/>
          <w:szCs w:val="21"/>
          <w:u w:val="single"/>
          <w14:textFill>
            <w14:solidFill>
              <w14:schemeClr w14:val="tx1"/>
            </w14:solidFill>
          </w14:textFill>
        </w:rPr>
      </w:pPr>
    </w:p>
    <w:p>
      <w:pPr>
        <w:pStyle w:val="3"/>
        <w:adjustRightInd w:val="0"/>
        <w:snapToGrid w:val="0"/>
        <w:spacing w:before="0" w:after="0" w:line="240" w:lineRule="auto"/>
        <w:jc w:val="left"/>
        <w:rPr>
          <w:rFonts w:eastAsia="仿宋_GB2312"/>
          <w:color w:val="000000" w:themeColor="text1"/>
          <w14:textFill>
            <w14:solidFill>
              <w14:schemeClr w14:val="tx1"/>
            </w14:solidFill>
          </w14:textFill>
        </w:rPr>
      </w:pPr>
      <w:bookmarkStart w:id="108" w:name="_Toc2821_WPSOffice_Level1"/>
      <w:r>
        <w:rPr>
          <w:rFonts w:hint="eastAsia"/>
          <w:color w:val="000000" w:themeColor="text1"/>
          <w14:textFill>
            <w14:solidFill>
              <w14:schemeClr w14:val="tx1"/>
            </w14:solidFill>
          </w14:textFill>
        </w:rPr>
        <w:br w:type="page"/>
      </w:r>
      <w:bookmarkStart w:id="109" w:name="_Toc4498_WPSOffice_Level1"/>
      <w:bookmarkStart w:id="110" w:name="_Toc30110"/>
      <w:r>
        <w:rPr>
          <w:rFonts w:hint="eastAsia" w:ascii="仿宋_GB2312" w:hAnsi="仿宋" w:eastAsia="仿宋_GB2312" w:cs="仿宋_GB2312"/>
          <w:color w:val="000000" w:themeColor="text1"/>
          <w:szCs w:val="28"/>
          <w14:textFill>
            <w14:solidFill>
              <w14:schemeClr w14:val="tx1"/>
            </w14:solidFill>
          </w14:textFill>
        </w:rPr>
        <w:t>格式21</w:t>
      </w:r>
    </w:p>
    <w:p>
      <w:pPr>
        <w:adjustRightInd w:val="0"/>
        <w:snapToGrid w:val="0"/>
        <w:spacing w:before="319" w:beforeLines="100" w:after="319" w:afterLines="100" w:line="360" w:lineRule="auto"/>
        <w:jc w:val="center"/>
        <w:rPr>
          <w:rFonts w:ascii="方正小标宋简体" w:hAnsi="仿宋" w:eastAsia="方正小标宋简体" w:cs="仿宋_GB2312"/>
          <w:color w:val="000000" w:themeColor="text1"/>
          <w:sz w:val="36"/>
          <w:szCs w:val="36"/>
          <w14:textFill>
            <w14:solidFill>
              <w14:schemeClr w14:val="tx1"/>
            </w14:solidFill>
          </w14:textFill>
        </w:rPr>
      </w:pPr>
      <w:r>
        <w:rPr>
          <w:rFonts w:hint="eastAsia" w:ascii="方正小标宋简体" w:hAnsi="仿宋" w:eastAsia="方正小标宋简体" w:cs="仿宋_GB2312"/>
          <w:color w:val="000000" w:themeColor="text1"/>
          <w:sz w:val="36"/>
          <w:szCs w:val="36"/>
          <w14:textFill>
            <w14:solidFill>
              <w14:schemeClr w14:val="tx1"/>
            </w14:solidFill>
          </w14:textFill>
        </w:rPr>
        <w:t>承 诺 书</w:t>
      </w:r>
    </w:p>
    <w:p>
      <w:pPr>
        <w:snapToGrid w:val="0"/>
        <w:spacing w:line="540" w:lineRule="exact"/>
        <w:ind w:firstLine="480" w:firstLineChars="200"/>
        <w:rPr>
          <w:rFonts w:ascii="仿宋_GB2312" w:hAnsi="仿宋" w:eastAsia="仿宋_GB2312" w:cs="仿宋"/>
          <w:bCs/>
          <w:color w:val="000000" w:themeColor="text1"/>
          <w:sz w:val="24"/>
          <w14:textFill>
            <w14:solidFill>
              <w14:schemeClr w14:val="tx1"/>
            </w14:solidFill>
          </w14:textFill>
        </w:rPr>
      </w:pPr>
      <w:r>
        <w:rPr>
          <w:rFonts w:hint="eastAsia" w:ascii="仿宋" w:hAnsi="仿宋" w:cs="仿宋"/>
          <w:b/>
          <w:color w:val="000000" w:themeColor="text1"/>
          <w:sz w:val="24"/>
          <w14:textFill>
            <w14:solidFill>
              <w14:schemeClr w14:val="tx1"/>
            </w14:solidFill>
          </w14:textFill>
        </w:rPr>
        <w:t xml:space="preserve"> </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u w:val="single"/>
          <w14:textFill>
            <w14:solidFill>
              <w14:schemeClr w14:val="tx1"/>
            </w14:solidFill>
          </w14:textFill>
        </w:rPr>
        <w:t xml:space="preserve">    公司名称</w:t>
      </w:r>
      <w:r>
        <w:rPr>
          <w:rFonts w:hint="eastAsia" w:ascii="仿宋_GB2312" w:hAnsi="仿宋" w:eastAsia="仿宋_GB2312" w:cs="仿宋"/>
          <w:bCs/>
          <w:color w:val="000000" w:themeColor="text1"/>
          <w:sz w:val="24"/>
          <w14:textFill>
            <w14:solidFill>
              <w14:schemeClr w14:val="tx1"/>
            </w14:solidFill>
          </w14:textFill>
        </w:rPr>
        <w:t>（以下简称“我公司”），就在</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14:textFill>
            <w14:solidFill>
              <w14:schemeClr w14:val="tx1"/>
            </w14:solidFill>
          </w14:textFill>
        </w:rPr>
        <w:t>(项目编号：</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14:textFill>
            <w14:solidFill>
              <w14:schemeClr w14:val="tx1"/>
            </w14:solidFill>
          </w14:textFill>
        </w:rPr>
        <w:t>）中提供的投标保证保险凭证/保函(编号:</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14:textFill>
            <w14:solidFill>
              <w14:schemeClr w14:val="tx1"/>
            </w14:solidFill>
          </w14:textFill>
        </w:rPr>
        <w:t>)有效性作出如下承诺：</w:t>
      </w:r>
    </w:p>
    <w:p>
      <w:pPr>
        <w:snapToGrid w:val="0"/>
        <w:spacing w:line="540" w:lineRule="exact"/>
        <w:ind w:firstLine="480" w:firstLineChars="200"/>
        <w:rPr>
          <w:rFonts w:ascii="仿宋_GB2312" w:hAnsi="仿宋" w:eastAsia="仿宋_GB2312" w:cs="仿宋"/>
          <w:bCs/>
          <w:color w:val="000000" w:themeColor="text1"/>
          <w:sz w:val="24"/>
          <w14:textFill>
            <w14:solidFill>
              <w14:schemeClr w14:val="tx1"/>
            </w14:solidFill>
          </w14:textFill>
        </w:rPr>
      </w:pPr>
      <w:r>
        <w:rPr>
          <w:rFonts w:hint="eastAsia" w:ascii="仿宋_GB2312" w:hAnsi="仿宋" w:eastAsia="仿宋_GB2312" w:cs="仿宋"/>
          <w:bCs/>
          <w:color w:val="000000" w:themeColor="text1"/>
          <w:sz w:val="24"/>
          <w14:textFill>
            <w14:solidFill>
              <w14:schemeClr w14:val="tx1"/>
            </w14:solidFill>
          </w14:textFill>
        </w:rPr>
        <w:t>一、鉴于我公司于</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u w:val="single"/>
          <w14:textFill>
            <w14:solidFill>
              <w14:schemeClr w14:val="tx1"/>
            </w14:solidFill>
          </w14:textFill>
        </w:rPr>
        <w:t>年</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u w:val="single"/>
          <w14:textFill>
            <w14:solidFill>
              <w14:schemeClr w14:val="tx1"/>
            </w14:solidFill>
          </w14:textFill>
        </w:rPr>
        <w:t>月</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u w:val="single"/>
          <w14:textFill>
            <w14:solidFill>
              <w14:schemeClr w14:val="tx1"/>
            </w14:solidFill>
          </w14:textFill>
        </w:rPr>
        <w:t>日</w:t>
      </w:r>
      <w:r>
        <w:rPr>
          <w:rFonts w:hint="eastAsia" w:ascii="仿宋_GB2312" w:hAnsi="仿宋" w:eastAsia="仿宋_GB2312" w:cs="仿宋"/>
          <w:bCs/>
          <w:color w:val="000000" w:themeColor="text1"/>
          <w:sz w:val="24"/>
          <w14:textFill>
            <w14:solidFill>
              <w14:schemeClr w14:val="tx1"/>
            </w14:solidFill>
          </w14:textFill>
        </w:rPr>
        <w:t>参加</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u w:val="single"/>
          <w14:textFill>
            <w14:solidFill>
              <w14:schemeClr w14:val="tx1"/>
            </w14:solidFill>
          </w14:textFill>
        </w:rPr>
        <w:t>(项目编号：</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14:textFill>
            <w14:solidFill>
              <w14:schemeClr w14:val="tx1"/>
            </w14:solidFill>
          </w14:textFill>
        </w:rPr>
        <w:t>）项目的投标，</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14:textFill>
            <w14:solidFill>
              <w14:schemeClr w14:val="tx1"/>
            </w14:solidFill>
          </w14:textFill>
        </w:rPr>
        <w:t>(金融机构)根据采购文件的要求已经为我公司出具该项目投标保证保险凭证/保函 。</w:t>
      </w:r>
    </w:p>
    <w:p>
      <w:pPr>
        <w:snapToGrid w:val="0"/>
        <w:spacing w:line="540" w:lineRule="exact"/>
        <w:ind w:firstLine="480" w:firstLineChars="200"/>
        <w:rPr>
          <w:rFonts w:ascii="仿宋_GB2312" w:hAnsi="仿宋" w:eastAsia="仿宋_GB2312" w:cs="仿宋"/>
          <w:bCs/>
          <w:color w:val="000000" w:themeColor="text1"/>
          <w:sz w:val="24"/>
          <w14:textFill>
            <w14:solidFill>
              <w14:schemeClr w14:val="tx1"/>
            </w14:solidFill>
          </w14:textFill>
        </w:rPr>
      </w:pPr>
      <w:r>
        <w:rPr>
          <w:rFonts w:hint="eastAsia" w:ascii="仿宋_GB2312" w:hAnsi="仿宋" w:eastAsia="仿宋_GB2312" w:cs="仿宋"/>
          <w:bCs/>
          <w:color w:val="000000" w:themeColor="text1"/>
          <w:sz w:val="24"/>
          <w14:textFill>
            <w14:solidFill>
              <w14:schemeClr w14:val="tx1"/>
            </w14:solidFill>
          </w14:textFill>
        </w:rPr>
        <w:t>二、</w:t>
      </w:r>
      <w:bookmarkStart w:id="111" w:name="_Hlk83746627"/>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u w:val="single"/>
          <w14:textFill>
            <w14:solidFill>
              <w14:schemeClr w14:val="tx1"/>
            </w14:solidFill>
          </w14:textFill>
        </w:rPr>
        <w:t>(项目编号：</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u w:val="single"/>
          <w14:textFill>
            <w14:solidFill>
              <w14:schemeClr w14:val="tx1"/>
            </w14:solidFill>
          </w14:textFill>
        </w:rPr>
        <w:t>）</w:t>
      </w:r>
      <w:bookmarkEnd w:id="111"/>
      <w:r>
        <w:rPr>
          <w:rFonts w:hint="eastAsia" w:ascii="仿宋_GB2312" w:hAnsi="仿宋" w:eastAsia="仿宋_GB2312" w:cs="仿宋"/>
          <w:bCs/>
          <w:color w:val="000000" w:themeColor="text1"/>
          <w:sz w:val="24"/>
          <w14:textFill>
            <w14:solidFill>
              <w14:schemeClr w14:val="tx1"/>
            </w14:solidFill>
          </w14:textFill>
        </w:rPr>
        <w:t>项目投标保证保险凭证/保函，保险有效期为</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14:textFill>
            <w14:solidFill>
              <w14:schemeClr w14:val="tx1"/>
            </w14:solidFill>
          </w14:textFill>
        </w:rPr>
        <w:t>年</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14:textFill>
            <w14:solidFill>
              <w14:schemeClr w14:val="tx1"/>
            </w14:solidFill>
          </w14:textFill>
        </w:rPr>
        <w:t>月</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14:textFill>
            <w14:solidFill>
              <w14:schemeClr w14:val="tx1"/>
            </w14:solidFill>
          </w14:textFill>
        </w:rPr>
        <w:t>日起至</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14:textFill>
            <w14:solidFill>
              <w14:schemeClr w14:val="tx1"/>
            </w14:solidFill>
          </w14:textFill>
        </w:rPr>
        <w:t>年</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14:textFill>
            <w14:solidFill>
              <w14:schemeClr w14:val="tx1"/>
            </w14:solidFill>
          </w14:textFill>
        </w:rPr>
        <w:t>月</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14:textFill>
            <w14:solidFill>
              <w14:schemeClr w14:val="tx1"/>
            </w14:solidFill>
          </w14:textFill>
        </w:rPr>
        <w:t>日止。</w:t>
      </w:r>
    </w:p>
    <w:p>
      <w:pPr>
        <w:snapToGrid w:val="0"/>
        <w:spacing w:line="540" w:lineRule="exact"/>
        <w:ind w:firstLine="480" w:firstLineChars="200"/>
        <w:rPr>
          <w:rFonts w:ascii="仿宋_GB2312" w:hAnsi="仿宋" w:eastAsia="仿宋_GB2312" w:cs="仿宋"/>
          <w:bCs/>
          <w:color w:val="000000" w:themeColor="text1"/>
          <w:sz w:val="24"/>
          <w14:textFill>
            <w14:solidFill>
              <w14:schemeClr w14:val="tx1"/>
            </w14:solidFill>
          </w14:textFill>
        </w:rPr>
      </w:pPr>
      <w:r>
        <w:rPr>
          <w:rFonts w:hint="eastAsia" w:ascii="仿宋_GB2312" w:hAnsi="仿宋" w:eastAsia="仿宋_GB2312" w:cs="仿宋"/>
          <w:bCs/>
          <w:color w:val="000000" w:themeColor="text1"/>
          <w:sz w:val="24"/>
          <w14:textFill>
            <w14:solidFill>
              <w14:schemeClr w14:val="tx1"/>
            </w14:solidFill>
          </w14:textFill>
        </w:rPr>
        <w:t>三、</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u w:val="single"/>
          <w14:textFill>
            <w14:solidFill>
              <w14:schemeClr w14:val="tx1"/>
            </w14:solidFill>
          </w14:textFill>
        </w:rPr>
        <w:t>(项目编号：</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u w:val="single"/>
          <w14:textFill>
            <w14:solidFill>
              <w14:schemeClr w14:val="tx1"/>
            </w14:solidFill>
          </w14:textFill>
        </w:rPr>
        <w:t>）</w:t>
      </w:r>
      <w:r>
        <w:rPr>
          <w:rFonts w:hint="eastAsia" w:ascii="仿宋_GB2312" w:hAnsi="仿宋" w:eastAsia="仿宋_GB2312" w:cs="仿宋"/>
          <w:bCs/>
          <w:color w:val="000000" w:themeColor="text1"/>
          <w:sz w:val="24"/>
          <w14:textFill>
            <w14:solidFill>
              <w14:schemeClr w14:val="tx1"/>
            </w14:solidFill>
          </w14:textFill>
        </w:rPr>
        <w:t>项目投标保证保险凭证/保函</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14:textFill>
            <w14:solidFill>
              <w14:schemeClr w14:val="tx1"/>
            </w14:solidFill>
          </w14:textFill>
        </w:rPr>
        <w:t>机构承担的保险金额（最高限额）：人民币</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14:textFill>
            <w14:solidFill>
              <w14:schemeClr w14:val="tx1"/>
            </w14:solidFill>
          </w14:textFill>
        </w:rPr>
        <w:t>元整 （</w:t>
      </w:r>
      <w:r>
        <w:rPr>
          <w:rFonts w:eastAsia="仿宋_GB2312"/>
          <w:bCs/>
          <w:color w:val="000000" w:themeColor="text1"/>
          <w:sz w:val="24"/>
          <w14:textFill>
            <w14:solidFill>
              <w14:schemeClr w14:val="tx1"/>
            </w14:solidFill>
          </w14:textFill>
        </w:rPr>
        <w:t>¥</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14:textFill>
            <w14:solidFill>
              <w14:schemeClr w14:val="tx1"/>
            </w14:solidFill>
          </w14:textFill>
        </w:rPr>
        <w:t>元）。</w:t>
      </w:r>
    </w:p>
    <w:p>
      <w:pPr>
        <w:snapToGrid w:val="0"/>
        <w:spacing w:line="540" w:lineRule="exact"/>
        <w:ind w:firstLine="480" w:firstLineChars="200"/>
        <w:rPr>
          <w:rFonts w:ascii="仿宋_GB2312" w:hAnsi="仿宋" w:eastAsia="仿宋_GB2312" w:cs="仿宋"/>
          <w:bCs/>
          <w:color w:val="000000" w:themeColor="text1"/>
          <w:sz w:val="24"/>
          <w14:textFill>
            <w14:solidFill>
              <w14:schemeClr w14:val="tx1"/>
            </w14:solidFill>
          </w14:textFill>
        </w:rPr>
      </w:pPr>
      <w:r>
        <w:rPr>
          <w:rFonts w:hint="eastAsia" w:ascii="仿宋_GB2312" w:hAnsi="仿宋" w:eastAsia="仿宋_GB2312" w:cs="仿宋"/>
          <w:bCs/>
          <w:color w:val="000000" w:themeColor="text1"/>
          <w:sz w:val="24"/>
          <w14:textFill>
            <w14:solidFill>
              <w14:schemeClr w14:val="tx1"/>
            </w14:solidFill>
          </w14:textFill>
        </w:rPr>
        <w:t>四、我公司郑重承诺，此保函为我公司委托</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hint="eastAsia" w:ascii="仿宋_GB2312" w:hAnsi="仿宋" w:eastAsia="仿宋_GB2312" w:cs="仿宋"/>
          <w:bCs/>
          <w:color w:val="000000" w:themeColor="text1"/>
          <w:sz w:val="24"/>
          <w14:textFill>
            <w14:solidFill>
              <w14:schemeClr w14:val="tx1"/>
            </w14:solidFill>
          </w14:textFill>
        </w:rPr>
        <w:t>（金融机构）开具，具有与投标保证金同等的法律效力，为我公司真实意思表示，此保函真实有效。若有弄虚作假等违法违规行为，我公司自愿负担由此产生的所有法律责任、承担一切法律后果。</w:t>
      </w:r>
    </w:p>
    <w:p>
      <w:pPr>
        <w:snapToGrid w:val="0"/>
        <w:spacing w:line="540" w:lineRule="exact"/>
        <w:ind w:firstLine="480" w:firstLineChars="200"/>
        <w:rPr>
          <w:rFonts w:ascii="仿宋_GB2312" w:hAnsi="仿宋" w:eastAsia="仿宋_GB2312" w:cs="仿宋"/>
          <w:bCs/>
          <w:color w:val="000000" w:themeColor="text1"/>
          <w:sz w:val="24"/>
          <w14:textFill>
            <w14:solidFill>
              <w14:schemeClr w14:val="tx1"/>
            </w14:solidFill>
          </w14:textFill>
        </w:rPr>
      </w:pPr>
    </w:p>
    <w:p>
      <w:pPr>
        <w:snapToGrid w:val="0"/>
        <w:spacing w:line="540" w:lineRule="exact"/>
        <w:ind w:firstLine="480" w:firstLineChars="200"/>
        <w:rPr>
          <w:rFonts w:ascii="仿宋_GB2312" w:hAnsi="仿宋" w:eastAsia="仿宋_GB2312" w:cs="仿宋"/>
          <w:bCs/>
          <w:color w:val="000000" w:themeColor="text1"/>
          <w:sz w:val="24"/>
          <w14:textFill>
            <w14:solidFill>
              <w14:schemeClr w14:val="tx1"/>
            </w14:solidFill>
          </w14:textFill>
        </w:rPr>
      </w:pPr>
      <w:r>
        <w:rPr>
          <w:rFonts w:hint="eastAsia" w:ascii="仿宋_GB2312" w:hAnsi="仿宋" w:eastAsia="仿宋_GB2312" w:cs="仿宋"/>
          <w:bCs/>
          <w:color w:val="000000" w:themeColor="text1"/>
          <w:sz w:val="24"/>
          <w14:textFill>
            <w14:solidFill>
              <w14:schemeClr w14:val="tx1"/>
            </w14:solidFill>
          </w14:textFill>
        </w:rPr>
        <w:t>承  诺  人（签字、公章）：</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ascii="仿宋_GB2312" w:hAnsi="仿宋" w:eastAsia="仿宋_GB2312" w:cs="仿宋"/>
          <w:bCs/>
          <w:color w:val="000000" w:themeColor="text1"/>
          <w:sz w:val="24"/>
          <w:u w:val="single"/>
          <w14:textFill>
            <w14:solidFill>
              <w14:schemeClr w14:val="tx1"/>
            </w14:solidFill>
          </w14:textFill>
        </w:rPr>
        <w:t xml:space="preserve">           </w:t>
      </w:r>
    </w:p>
    <w:p>
      <w:pPr>
        <w:snapToGrid w:val="0"/>
        <w:spacing w:line="540" w:lineRule="exact"/>
        <w:ind w:firstLine="480" w:firstLineChars="200"/>
        <w:rPr>
          <w:rFonts w:ascii="仿宋_GB2312" w:hAnsi="仿宋" w:eastAsia="仿宋_GB2312" w:cs="仿宋"/>
          <w:bCs/>
          <w:color w:val="000000" w:themeColor="text1"/>
          <w:sz w:val="24"/>
          <w14:textFill>
            <w14:solidFill>
              <w14:schemeClr w14:val="tx1"/>
            </w14:solidFill>
          </w14:textFill>
        </w:rPr>
      </w:pPr>
      <w:r>
        <w:rPr>
          <w:rFonts w:hint="eastAsia" w:ascii="仿宋_GB2312" w:hAnsi="仿宋" w:eastAsia="仿宋_GB2312" w:cs="仿宋"/>
          <w:bCs/>
          <w:color w:val="000000" w:themeColor="text1"/>
          <w:sz w:val="24"/>
          <w14:textFill>
            <w14:solidFill>
              <w14:schemeClr w14:val="tx1"/>
            </w14:solidFill>
          </w14:textFill>
        </w:rPr>
        <w:t>法定代表人（签字、法人章）：</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ascii="仿宋_GB2312" w:hAnsi="仿宋" w:eastAsia="仿宋_GB2312" w:cs="仿宋"/>
          <w:bCs/>
          <w:color w:val="000000" w:themeColor="text1"/>
          <w:sz w:val="24"/>
          <w:u w:val="single"/>
          <w14:textFill>
            <w14:solidFill>
              <w14:schemeClr w14:val="tx1"/>
            </w14:solidFill>
          </w14:textFill>
        </w:rPr>
        <w:t xml:space="preserve">         </w:t>
      </w:r>
    </w:p>
    <w:p>
      <w:pPr>
        <w:snapToGrid w:val="0"/>
        <w:spacing w:line="540" w:lineRule="exact"/>
        <w:ind w:firstLine="480" w:firstLineChars="200"/>
        <w:rPr>
          <w:rFonts w:ascii="仿宋_GB2312" w:hAnsi="仿宋" w:eastAsia="仿宋_GB2312" w:cs="仿宋"/>
          <w:bCs/>
          <w:color w:val="000000" w:themeColor="text1"/>
          <w:sz w:val="24"/>
          <w:u w:val="single"/>
          <w14:textFill>
            <w14:solidFill>
              <w14:schemeClr w14:val="tx1"/>
            </w14:solidFill>
          </w14:textFill>
        </w:rPr>
      </w:pPr>
      <w:r>
        <w:rPr>
          <w:rFonts w:hint="eastAsia" w:ascii="仿宋_GB2312" w:hAnsi="仿宋" w:eastAsia="仿宋_GB2312" w:cs="仿宋"/>
          <w:bCs/>
          <w:color w:val="000000" w:themeColor="text1"/>
          <w:sz w:val="24"/>
          <w14:textFill>
            <w14:solidFill>
              <w14:schemeClr w14:val="tx1"/>
            </w14:solidFill>
          </w14:textFill>
        </w:rPr>
        <w:t xml:space="preserve">财     </w:t>
      </w:r>
      <w:r>
        <w:rPr>
          <w:rFonts w:ascii="仿宋_GB2312" w:hAnsi="仿宋" w:eastAsia="仿宋_GB2312" w:cs="仿宋"/>
          <w:bCs/>
          <w:color w:val="000000" w:themeColor="text1"/>
          <w:sz w:val="24"/>
          <w14:textFill>
            <w14:solidFill>
              <w14:schemeClr w14:val="tx1"/>
            </w14:solidFill>
          </w14:textFill>
        </w:rPr>
        <w:t xml:space="preserve"> </w:t>
      </w:r>
      <w:r>
        <w:rPr>
          <w:rFonts w:hint="eastAsia" w:ascii="仿宋_GB2312" w:hAnsi="仿宋" w:eastAsia="仿宋_GB2312" w:cs="仿宋"/>
          <w:bCs/>
          <w:color w:val="000000" w:themeColor="text1"/>
          <w:sz w:val="24"/>
          <w14:textFill>
            <w14:solidFill>
              <w14:schemeClr w14:val="tx1"/>
            </w14:solidFill>
          </w14:textFill>
        </w:rPr>
        <w:t>务（签字、财务专用章）：</w:t>
      </w:r>
      <w:r>
        <w:rPr>
          <w:rFonts w:hint="eastAsia" w:ascii="仿宋_GB2312" w:hAnsi="仿宋" w:eastAsia="仿宋_GB2312" w:cs="仿宋"/>
          <w:bCs/>
          <w:color w:val="000000" w:themeColor="text1"/>
          <w:sz w:val="24"/>
          <w:u w:val="single"/>
          <w14:textFill>
            <w14:solidFill>
              <w14:schemeClr w14:val="tx1"/>
            </w14:solidFill>
          </w14:textFill>
        </w:rPr>
        <w:t xml:space="preserve">    </w:t>
      </w:r>
      <w:r>
        <w:rPr>
          <w:rFonts w:ascii="仿宋_GB2312" w:hAnsi="仿宋" w:eastAsia="仿宋_GB2312" w:cs="仿宋"/>
          <w:bCs/>
          <w:color w:val="000000" w:themeColor="text1"/>
          <w:sz w:val="24"/>
          <w:u w:val="single"/>
          <w14:textFill>
            <w14:solidFill>
              <w14:schemeClr w14:val="tx1"/>
            </w14:solidFill>
          </w14:textFill>
        </w:rPr>
        <w:t xml:space="preserve">     </w:t>
      </w:r>
    </w:p>
    <w:p>
      <w:pPr>
        <w:snapToGrid w:val="0"/>
        <w:spacing w:line="540" w:lineRule="exact"/>
        <w:ind w:firstLine="480" w:firstLineChars="200"/>
        <w:jc w:val="right"/>
        <w:rPr>
          <w:rFonts w:ascii="仿宋_GB2312" w:hAnsi="仿宋" w:eastAsia="仿宋_GB2312" w:cs="仿宋"/>
          <w:bCs/>
          <w:color w:val="000000" w:themeColor="text1"/>
          <w:sz w:val="24"/>
          <w14:textFill>
            <w14:solidFill>
              <w14:schemeClr w14:val="tx1"/>
            </w14:solidFill>
          </w14:textFill>
        </w:rPr>
      </w:pPr>
    </w:p>
    <w:p>
      <w:pPr>
        <w:snapToGrid w:val="0"/>
        <w:spacing w:line="540" w:lineRule="exact"/>
        <w:ind w:firstLine="480" w:firstLineChars="200"/>
        <w:jc w:val="right"/>
        <w:rPr>
          <w:rFonts w:ascii="仿宋_GB2312" w:hAnsi="仿宋" w:eastAsia="仿宋_GB2312" w:cs="仿宋"/>
          <w:bCs/>
          <w:color w:val="000000" w:themeColor="text1"/>
          <w:sz w:val="24"/>
          <w14:textFill>
            <w14:solidFill>
              <w14:schemeClr w14:val="tx1"/>
            </w14:solidFill>
          </w14:textFill>
        </w:rPr>
      </w:pPr>
    </w:p>
    <w:p>
      <w:pPr>
        <w:snapToGrid w:val="0"/>
        <w:spacing w:line="540" w:lineRule="exact"/>
        <w:ind w:firstLine="480" w:firstLineChars="200"/>
        <w:jc w:val="right"/>
        <w:rPr>
          <w:rFonts w:ascii="仿宋_GB2312" w:hAnsi="仿宋" w:eastAsia="仿宋_GB2312" w:cs="仿宋"/>
          <w:bCs/>
          <w:color w:val="000000" w:themeColor="text1"/>
          <w:sz w:val="24"/>
          <w14:textFill>
            <w14:solidFill>
              <w14:schemeClr w14:val="tx1"/>
            </w14:solidFill>
          </w14:textFill>
        </w:rPr>
      </w:pPr>
      <w:r>
        <w:rPr>
          <w:rFonts w:hint="eastAsia" w:ascii="仿宋_GB2312" w:hAnsi="仿宋" w:eastAsia="仿宋_GB2312" w:cs="仿宋"/>
          <w:bCs/>
          <w:color w:val="000000" w:themeColor="text1"/>
          <w:sz w:val="24"/>
          <w14:textFill>
            <w14:solidFill>
              <w14:schemeClr w14:val="tx1"/>
            </w14:solidFill>
          </w14:textFill>
        </w:rPr>
        <w:t xml:space="preserve">日期： </w:t>
      </w:r>
      <w:r>
        <w:rPr>
          <w:rFonts w:ascii="仿宋_GB2312" w:hAnsi="仿宋" w:eastAsia="仿宋_GB2312" w:cs="仿宋"/>
          <w:bCs/>
          <w:color w:val="000000" w:themeColor="text1"/>
          <w:sz w:val="24"/>
          <w14:textFill>
            <w14:solidFill>
              <w14:schemeClr w14:val="tx1"/>
            </w14:solidFill>
          </w14:textFill>
        </w:rPr>
        <w:t xml:space="preserve">   </w:t>
      </w:r>
      <w:r>
        <w:rPr>
          <w:rFonts w:hint="eastAsia" w:ascii="仿宋_GB2312" w:hAnsi="仿宋" w:eastAsia="仿宋_GB2312" w:cs="仿宋"/>
          <w:bCs/>
          <w:color w:val="000000" w:themeColor="text1"/>
          <w:sz w:val="24"/>
          <w14:textFill>
            <w14:solidFill>
              <w14:schemeClr w14:val="tx1"/>
            </w14:solidFill>
          </w14:textFill>
        </w:rPr>
        <w:t>年   月   日</w:t>
      </w:r>
    </w:p>
    <w:p>
      <w:pPr>
        <w:pStyle w:val="3"/>
        <w:adjustRightInd w:val="0"/>
        <w:snapToGrid w:val="0"/>
        <w:spacing w:before="0" w:after="0" w:line="360" w:lineRule="auto"/>
        <w:jc w:val="left"/>
        <w:rPr>
          <w:rFonts w:ascii="仿宋_GB2312" w:hAnsi="仿宋" w:eastAsia="仿宋_GB2312" w:cs="仿宋_GB2312"/>
          <w:color w:val="000000" w:themeColor="text1"/>
          <w:szCs w:val="28"/>
          <w14:textFill>
            <w14:solidFill>
              <w14:schemeClr w14:val="tx1"/>
            </w14:solidFill>
          </w14:textFill>
        </w:rPr>
      </w:pPr>
      <w:r>
        <w:rPr>
          <w:color w:val="000000" w:themeColor="text1"/>
          <w14:textFill>
            <w14:solidFill>
              <w14:schemeClr w14:val="tx1"/>
            </w14:solidFill>
          </w14:textFill>
        </w:rPr>
        <w:br w:type="page"/>
      </w:r>
      <w:r>
        <w:rPr>
          <w:rFonts w:hint="eastAsia" w:ascii="仿宋_GB2312" w:hAnsi="仿宋" w:eastAsia="仿宋_GB2312" w:cs="仿宋_GB2312"/>
          <w:color w:val="000000" w:themeColor="text1"/>
          <w:szCs w:val="28"/>
          <w14:textFill>
            <w14:solidFill>
              <w14:schemeClr w14:val="tx1"/>
            </w14:solidFill>
          </w14:textFill>
        </w:rPr>
        <w:t>格式22</w:t>
      </w:r>
    </w:p>
    <w:p>
      <w:pPr>
        <w:snapToGrid w:val="0"/>
        <w:spacing w:line="360" w:lineRule="auto"/>
        <w:jc w:val="center"/>
        <w:rPr>
          <w:rFonts w:ascii="方正小标宋简体" w:hAnsi="仿宋" w:eastAsia="方正小标宋简体" w:cs="仿宋_GB2312"/>
          <w:bCs/>
          <w:color w:val="000000" w:themeColor="text1"/>
          <w:sz w:val="32"/>
          <w:szCs w:val="32"/>
          <w14:textFill>
            <w14:solidFill>
              <w14:schemeClr w14:val="tx1"/>
            </w14:solidFill>
          </w14:textFill>
        </w:rPr>
      </w:pPr>
      <w:r>
        <w:rPr>
          <w:rFonts w:hint="eastAsia" w:ascii="方正小标宋简体" w:hAnsi="仿宋" w:eastAsia="方正小标宋简体" w:cs="仿宋_GB2312"/>
          <w:bCs/>
          <w:color w:val="000000" w:themeColor="text1"/>
          <w:sz w:val="32"/>
          <w:szCs w:val="32"/>
          <w14:textFill>
            <w14:solidFill>
              <w14:schemeClr w14:val="tx1"/>
            </w14:solidFill>
          </w14:textFill>
        </w:rPr>
        <w:t>保证金退还明细表（电汇）</w:t>
      </w:r>
    </w:p>
    <w:tbl>
      <w:tblPr>
        <w:tblStyle w:val="20"/>
        <w:tblW w:w="834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项目名称</w:t>
            </w:r>
          </w:p>
        </w:tc>
        <w:tc>
          <w:tcPr>
            <w:tcW w:w="618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项目编号</w:t>
            </w:r>
          </w:p>
        </w:tc>
        <w:tc>
          <w:tcPr>
            <w:tcW w:w="618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投标人名称</w:t>
            </w:r>
          </w:p>
        </w:tc>
        <w:tc>
          <w:tcPr>
            <w:tcW w:w="618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开户名称</w:t>
            </w:r>
          </w:p>
        </w:tc>
        <w:tc>
          <w:tcPr>
            <w:tcW w:w="6181" w:type="dxa"/>
            <w:tcBorders>
              <w:top w:val="single" w:color="auto" w:sz="4" w:space="0"/>
              <w:left w:val="single" w:color="auto" w:sz="4" w:space="0"/>
              <w:bottom w:val="single" w:color="auto" w:sz="4" w:space="0"/>
              <w:right w:val="single" w:color="auto" w:sz="4" w:space="0"/>
            </w:tcBorders>
            <w:vAlign w:val="bottom"/>
          </w:tcPr>
          <w:p>
            <w:pPr>
              <w:jc w:val="right"/>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（银行开户的单位名称）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开户银行</w:t>
            </w:r>
          </w:p>
        </w:tc>
        <w:tc>
          <w:tcPr>
            <w:tcW w:w="6181"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汇款账号</w:t>
            </w:r>
          </w:p>
        </w:tc>
        <w:tc>
          <w:tcPr>
            <w:tcW w:w="6181"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备注</w:t>
            </w:r>
          </w:p>
        </w:tc>
        <w:tc>
          <w:tcPr>
            <w:tcW w:w="61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color w:val="000000" w:themeColor="text1"/>
                <w:sz w:val="24"/>
                <w14:textFill>
                  <w14:solidFill>
                    <w14:schemeClr w14:val="tx1"/>
                  </w14:solidFill>
                </w14:textFill>
              </w:rPr>
            </w:pPr>
          </w:p>
        </w:tc>
      </w:tr>
    </w:tbl>
    <w:p>
      <w:pPr>
        <w:spacing w:line="400" w:lineRule="exact"/>
        <w:jc w:val="left"/>
        <w:rPr>
          <w:rFonts w:ascii="仿宋" w:hAnsi="仿宋"/>
          <w:bCs/>
          <w:color w:val="000000" w:themeColor="text1"/>
          <w:sz w:val="24"/>
          <w14:textFill>
            <w14:solidFill>
              <w14:schemeClr w14:val="tx1"/>
            </w14:solidFill>
          </w14:textFill>
        </w:rPr>
      </w:pPr>
      <w:r>
        <w:rPr>
          <w:rFonts w:hint="eastAsia" w:ascii="仿宋" w:hAnsi="仿宋"/>
          <w:bCs/>
          <w:color w:val="000000" w:themeColor="text1"/>
          <w:sz w:val="24"/>
          <w14:textFill>
            <w14:solidFill>
              <w14:schemeClr w14:val="tx1"/>
            </w14:solidFill>
          </w14:textFill>
        </w:rPr>
        <w:t xml:space="preserve"> </w:t>
      </w:r>
    </w:p>
    <w:p>
      <w:pPr>
        <w:spacing w:line="400" w:lineRule="exact"/>
        <w:jc w:val="left"/>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注：1.此表所填退还保证金开户行、账号等信息应与递交保证金开户行、账号等信息相一致，否则影响保证金退还；</w:t>
      </w:r>
    </w:p>
    <w:p>
      <w:pPr>
        <w:spacing w:line="400" w:lineRule="exact"/>
        <w:ind w:firstLine="480" w:firstLineChars="200"/>
        <w:jc w:val="left"/>
        <w:rPr>
          <w:rFonts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 xml:space="preserve">2.开户银行应写全，例如XX银行XX支行或XX分行。                                             </w:t>
      </w:r>
      <w:r>
        <w:rPr>
          <w:rFonts w:hint="eastAsia" w:ascii="仿宋_GB2312" w:eastAsia="仿宋_GB2312"/>
          <w:bCs/>
          <w:color w:val="000000" w:themeColor="text1"/>
          <w:sz w:val="28"/>
          <w:szCs w:val="28"/>
          <w14:textFill>
            <w14:solidFill>
              <w14:schemeClr w14:val="tx1"/>
            </w14:solidFill>
          </w14:textFill>
        </w:rPr>
        <w:t xml:space="preserve">            </w:t>
      </w:r>
    </w:p>
    <w:p>
      <w:pPr>
        <w:spacing w:line="400" w:lineRule="exact"/>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w:t>
      </w:r>
    </w:p>
    <w:p>
      <w:pPr>
        <w:adjustRightInd w:val="0"/>
        <w:snapToGrid w:val="0"/>
        <w:spacing w:line="480" w:lineRule="auto"/>
        <w:ind w:right="105" w:rightChars="50"/>
        <w:jc w:val="left"/>
        <w:rPr>
          <w:b/>
          <w:color w:val="000000" w:themeColor="text1"/>
          <w:kern w:val="44"/>
          <w:sz w:val="44"/>
          <w:szCs w:val="44"/>
          <w14:textFill>
            <w14:solidFill>
              <w14:schemeClr w14:val="tx1"/>
            </w14:solidFill>
          </w14:textFill>
        </w:rPr>
      </w:pPr>
      <w:r>
        <w:rPr>
          <w:b/>
          <w:color w:val="000000" w:themeColor="text1"/>
          <w:kern w:val="44"/>
          <w:sz w:val="44"/>
          <w:szCs w:val="44"/>
          <w14:textFill>
            <w14:solidFill>
              <w14:schemeClr w14:val="tx1"/>
            </w14:solidFill>
          </w14:textFill>
        </w:rPr>
        <w:t xml:space="preserve"> </w:t>
      </w:r>
    </w:p>
    <w:p>
      <w:pPr>
        <w:adjustRightInd w:val="0"/>
        <w:snapToGrid w:val="0"/>
        <w:spacing w:line="480" w:lineRule="auto"/>
        <w:ind w:right="105" w:rightChars="50"/>
        <w:jc w:val="lef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投标人名称（加盖单位公章）：</w:t>
      </w:r>
      <w:r>
        <w:rPr>
          <w:rFonts w:hint="eastAsia" w:ascii="仿宋_GB2312" w:hAnsi="仿宋" w:eastAsia="仿宋_GB2312"/>
          <w:color w:val="000000" w:themeColor="text1"/>
          <w:sz w:val="24"/>
          <w:u w:val="single"/>
          <w14:textFill>
            <w14:solidFill>
              <w14:schemeClr w14:val="tx1"/>
            </w14:solidFill>
          </w14:textFill>
        </w:rPr>
        <w:t xml:space="preserve">               </w:t>
      </w:r>
      <w:r>
        <w:rPr>
          <w:rFonts w:hint="eastAsia" w:ascii="仿宋_GB2312" w:hAnsi="仿宋" w:eastAsia="仿宋_GB2312"/>
          <w:color w:val="000000" w:themeColor="text1"/>
          <w:sz w:val="24"/>
          <w14:textFill>
            <w14:solidFill>
              <w14:schemeClr w14:val="tx1"/>
            </w14:solidFill>
          </w14:textFill>
        </w:rPr>
        <w:t xml:space="preserve"> </w:t>
      </w:r>
    </w:p>
    <w:p>
      <w:pPr>
        <w:adjustRightInd w:val="0"/>
        <w:snapToGrid w:val="0"/>
        <w:spacing w:line="480" w:lineRule="auto"/>
        <w:ind w:right="105" w:rightChars="50"/>
        <w:jc w:val="left"/>
        <w:rPr>
          <w:rFonts w:ascii="仿宋_GB2312" w:hAnsi="仿宋" w:eastAsia="仿宋_GB2312"/>
          <w:color w:val="000000" w:themeColor="text1"/>
          <w:sz w:val="24"/>
          <w:u w:val="single"/>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 xml:space="preserve">日  </w:t>
      </w:r>
      <w:r>
        <w:rPr>
          <w:rFonts w:ascii="仿宋_GB2312" w:hAnsi="仿宋" w:eastAsia="仿宋_GB2312"/>
          <w:color w:val="000000" w:themeColor="text1"/>
          <w:sz w:val="24"/>
          <w14:textFill>
            <w14:solidFill>
              <w14:schemeClr w14:val="tx1"/>
            </w14:solidFill>
          </w14:textFill>
        </w:rPr>
        <w:t xml:space="preserve">   </w:t>
      </w:r>
      <w:r>
        <w:rPr>
          <w:rFonts w:hint="eastAsia" w:ascii="仿宋_GB2312" w:hAnsi="仿宋" w:eastAsia="仿宋_GB2312"/>
          <w:color w:val="000000" w:themeColor="text1"/>
          <w:sz w:val="24"/>
          <w14:textFill>
            <w14:solidFill>
              <w14:schemeClr w14:val="tx1"/>
            </w14:solidFill>
          </w14:textFill>
        </w:rPr>
        <w:t xml:space="preserve"> 期：</w:t>
      </w:r>
      <w:r>
        <w:rPr>
          <w:rFonts w:hint="eastAsia" w:ascii="仿宋_GB2312" w:hAnsi="仿宋" w:eastAsia="仿宋_GB2312"/>
          <w:color w:val="000000" w:themeColor="text1"/>
          <w:sz w:val="24"/>
          <w:u w:val="single"/>
          <w14:textFill>
            <w14:solidFill>
              <w14:schemeClr w14:val="tx1"/>
            </w14:solidFill>
          </w14:textFill>
        </w:rPr>
        <w:t xml:space="preserve">               </w:t>
      </w:r>
    </w:p>
    <w:p>
      <w:pPr>
        <w:rPr>
          <w:color w:val="000000" w:themeColor="text1"/>
          <w14:textFill>
            <w14:solidFill>
              <w14:schemeClr w14:val="tx1"/>
            </w14:solidFill>
          </w14:textFill>
        </w:rPr>
      </w:pPr>
    </w:p>
    <w:p>
      <w:pPr>
        <w:pStyle w:val="3"/>
        <w:adjustRightInd w:val="0"/>
        <w:snapToGrid w:val="0"/>
        <w:spacing w:before="0" w:after="0" w:line="360" w:lineRule="auto"/>
        <w:jc w:val="left"/>
        <w:rPr>
          <w:rFonts w:ascii="仿宋_GB2312" w:hAnsi="仿宋" w:eastAsia="仿宋_GB2312" w:cs="仿宋_GB2312"/>
          <w:color w:val="000000" w:themeColor="text1"/>
          <w:szCs w:val="28"/>
          <w14:textFill>
            <w14:solidFill>
              <w14:schemeClr w14:val="tx1"/>
            </w14:solidFill>
          </w14:textFill>
        </w:rPr>
      </w:pPr>
      <w:r>
        <w:rPr>
          <w:rFonts w:hint="eastAsia" w:ascii="仿宋_GB2312" w:hAnsi="仿宋" w:eastAsia="仿宋_GB2312" w:cs="仿宋"/>
          <w:bCs/>
          <w:color w:val="000000" w:themeColor="text1"/>
          <w:sz w:val="24"/>
          <w14:textFill>
            <w14:solidFill>
              <w14:schemeClr w14:val="tx1"/>
            </w14:solidFill>
          </w14:textFill>
        </w:rPr>
        <w:br w:type="page"/>
      </w:r>
      <w:r>
        <w:rPr>
          <w:rFonts w:hint="eastAsia" w:ascii="仿宋_GB2312" w:hAnsi="仿宋" w:eastAsia="仿宋_GB2312" w:cs="仿宋_GB2312"/>
          <w:color w:val="000000" w:themeColor="text1"/>
          <w:szCs w:val="28"/>
          <w14:textFill>
            <w14:solidFill>
              <w14:schemeClr w14:val="tx1"/>
            </w14:solidFill>
          </w14:textFill>
        </w:rPr>
        <w:t>格式</w:t>
      </w:r>
      <w:r>
        <w:rPr>
          <w:rFonts w:ascii="仿宋_GB2312" w:hAnsi="仿宋" w:eastAsia="仿宋_GB2312" w:cs="仿宋_GB2312"/>
          <w:color w:val="000000" w:themeColor="text1"/>
          <w:szCs w:val="28"/>
          <w14:textFill>
            <w14:solidFill>
              <w14:schemeClr w14:val="tx1"/>
            </w14:solidFill>
          </w14:textFill>
        </w:rPr>
        <w:t>2</w:t>
      </w:r>
      <w:r>
        <w:rPr>
          <w:rFonts w:hint="eastAsia" w:ascii="仿宋_GB2312" w:hAnsi="仿宋" w:eastAsia="仿宋_GB2312" w:cs="仿宋_GB2312"/>
          <w:color w:val="000000" w:themeColor="text1"/>
          <w:szCs w:val="28"/>
          <w14:textFill>
            <w14:solidFill>
              <w14:schemeClr w14:val="tx1"/>
            </w14:solidFill>
          </w14:textFill>
        </w:rPr>
        <w:t>3</w:t>
      </w:r>
    </w:p>
    <w:p>
      <w:pPr>
        <w:adjustRightInd w:val="0"/>
        <w:snapToGrid w:val="0"/>
        <w:spacing w:line="360" w:lineRule="auto"/>
        <w:ind w:right="105" w:rightChars="50"/>
        <w:jc w:val="center"/>
        <w:rPr>
          <w:rFonts w:ascii="方正小标宋简体" w:hAnsi="仿宋" w:eastAsia="方正小标宋简体" w:cs="仿宋_GB2312"/>
          <w:bCs/>
          <w:color w:val="000000" w:themeColor="text1"/>
          <w:sz w:val="32"/>
          <w:szCs w:val="32"/>
          <w14:textFill>
            <w14:solidFill>
              <w14:schemeClr w14:val="tx1"/>
            </w14:solidFill>
          </w14:textFill>
        </w:rPr>
      </w:pPr>
      <w:r>
        <w:rPr>
          <w:rFonts w:hint="eastAsia" w:ascii="方正小标宋简体" w:hAnsi="仿宋" w:eastAsia="方正小标宋简体" w:cs="仿宋_GB2312"/>
          <w:bCs/>
          <w:color w:val="000000" w:themeColor="text1"/>
          <w:sz w:val="32"/>
          <w:szCs w:val="32"/>
          <w14:textFill>
            <w14:solidFill>
              <w14:schemeClr w14:val="tx1"/>
            </w14:solidFill>
          </w14:textFill>
        </w:rPr>
        <w:t>投标人基本情况</w:t>
      </w:r>
    </w:p>
    <w:p>
      <w:pPr>
        <w:adjustRightInd w:val="0"/>
        <w:snapToGrid w:val="0"/>
        <w:spacing w:line="360" w:lineRule="auto"/>
        <w:ind w:right="105" w:rightChars="50"/>
        <w:jc w:val="left"/>
        <w:rPr>
          <w:rFonts w:ascii="仿宋_GB2312" w:hAnsi="仿宋" w:eastAsia="仿宋_GB2312" w:cs="仿宋_GB2312"/>
          <w:color w:val="000000" w:themeColor="text1"/>
          <w:sz w:val="24"/>
          <w14:textFill>
            <w14:solidFill>
              <w14:schemeClr w14:val="tx1"/>
            </w14:solidFill>
          </w14:textFill>
        </w:rPr>
      </w:pPr>
    </w:p>
    <w:p>
      <w:pPr>
        <w:adjustRightInd w:val="0"/>
        <w:snapToGrid w:val="0"/>
        <w:spacing w:line="360" w:lineRule="auto"/>
        <w:ind w:right="105" w:rightChars="5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附表1 投标人基本信息表</w:t>
      </w:r>
    </w:p>
    <w:p>
      <w:pPr>
        <w:adjustRightInd w:val="0"/>
        <w:snapToGrid w:val="0"/>
        <w:spacing w:line="360" w:lineRule="auto"/>
        <w:ind w:right="105" w:rightChars="5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xml:space="preserve">附表2 </w:t>
      </w:r>
      <w:r>
        <w:rPr>
          <w:rFonts w:hint="eastAsia" w:ascii="仿宋_GB2312" w:hAnsi="仿宋_GB2312" w:eastAsia="仿宋_GB2312" w:cs="仿宋_GB2312"/>
          <w:color w:val="000000" w:themeColor="text1"/>
          <w:kern w:val="0"/>
          <w:sz w:val="24"/>
          <w:lang w:bidi="ar"/>
          <w14:textFill>
            <w14:solidFill>
              <w14:schemeClr w14:val="tx1"/>
            </w14:solidFill>
          </w14:textFill>
        </w:rPr>
        <w:t>2018</w:t>
      </w:r>
      <w:r>
        <w:rPr>
          <w:rFonts w:hint="eastAsia" w:ascii="仿宋_GB2312" w:hAnsi="仿宋" w:eastAsia="仿宋_GB2312" w:cs="仿宋_GB2312"/>
          <w:color w:val="000000" w:themeColor="text1"/>
          <w:sz w:val="24"/>
          <w:lang w:bidi="ar"/>
          <w14:textFill>
            <w14:solidFill>
              <w14:schemeClr w14:val="tx1"/>
            </w14:solidFill>
          </w14:textFill>
        </w:rPr>
        <w:t>年1月1日至今</w:t>
      </w:r>
      <w:r>
        <w:rPr>
          <w:rFonts w:hint="eastAsia" w:ascii="仿宋_GB2312" w:hAnsi="仿宋" w:eastAsia="仿宋_GB2312" w:cs="仿宋_GB2312"/>
          <w:color w:val="000000" w:themeColor="text1"/>
          <w:sz w:val="24"/>
          <w14:textFill>
            <w14:solidFill>
              <w14:schemeClr w14:val="tx1"/>
            </w14:solidFill>
          </w14:textFill>
        </w:rPr>
        <w:t>业绩汇总表</w:t>
      </w:r>
    </w:p>
    <w:p>
      <w:pPr>
        <w:adjustRightInd w:val="0"/>
        <w:snapToGrid w:val="0"/>
        <w:spacing w:line="360" w:lineRule="auto"/>
        <w:ind w:right="105" w:rightChars="5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附表3</w:t>
      </w:r>
      <w:r>
        <w:rPr>
          <w:rFonts w:ascii="仿宋_GB2312" w:hAnsi="仿宋" w:eastAsia="仿宋_GB2312" w:cs="仿宋_GB2312"/>
          <w:color w:val="000000" w:themeColor="text1"/>
          <w:sz w:val="24"/>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单个项目情况表</w:t>
      </w:r>
    </w:p>
    <w:p>
      <w:pPr>
        <w:adjustRightInd w:val="0"/>
        <w:snapToGrid w:val="0"/>
        <w:spacing w:line="360" w:lineRule="auto"/>
        <w:ind w:right="105" w:rightChars="5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附表4 拟配置服务人员一览表</w:t>
      </w:r>
    </w:p>
    <w:p>
      <w:pPr>
        <w:pStyle w:val="51"/>
        <w:rPr>
          <w:rFonts w:ascii="仿宋_GB2312" w:eastAsia="仿宋_GB2312"/>
          <w:b/>
          <w:bCs/>
          <w:color w:val="000000" w:themeColor="text1"/>
          <w:sz w:val="24"/>
          <w:szCs w:val="24"/>
          <w14:textFill>
            <w14:solidFill>
              <w14:schemeClr w14:val="tx1"/>
            </w14:solidFill>
          </w14:textFill>
        </w:rPr>
      </w:pPr>
      <w:r>
        <w:rPr>
          <w:rFonts w:hint="eastAsia"/>
          <w:color w:val="000000" w:themeColor="text1"/>
          <w:szCs w:val="28"/>
          <w14:textFill>
            <w14:solidFill>
              <w14:schemeClr w14:val="tx1"/>
            </w14:solidFill>
          </w14:textFill>
        </w:rPr>
        <w:br w:type="page"/>
      </w:r>
      <w:r>
        <w:rPr>
          <w:rFonts w:hint="eastAsia" w:ascii="仿宋_GB2312" w:eastAsia="仿宋_GB2312"/>
          <w:b/>
          <w:bCs/>
          <w:color w:val="000000" w:themeColor="text1"/>
          <w:sz w:val="24"/>
          <w:szCs w:val="24"/>
          <w14:textFill>
            <w14:solidFill>
              <w14:schemeClr w14:val="tx1"/>
            </w14:solidFill>
          </w14:textFill>
        </w:rPr>
        <w:t>附表1</w:t>
      </w:r>
    </w:p>
    <w:p>
      <w:pPr>
        <w:adjustRightInd w:val="0"/>
        <w:snapToGrid w:val="0"/>
        <w:spacing w:before="319" w:beforeLines="100" w:line="360" w:lineRule="auto"/>
        <w:ind w:right="105" w:rightChars="50"/>
        <w:jc w:val="center"/>
        <w:rPr>
          <w:rFonts w:ascii="方正小标宋简体" w:hAnsi="仿宋" w:eastAsia="方正小标宋简体" w:cs="仿宋_GB2312"/>
          <w:bCs/>
          <w:color w:val="000000" w:themeColor="text1"/>
          <w:sz w:val="32"/>
          <w:szCs w:val="32"/>
          <w14:textFill>
            <w14:solidFill>
              <w14:schemeClr w14:val="tx1"/>
            </w14:solidFill>
          </w14:textFill>
        </w:rPr>
      </w:pPr>
      <w:r>
        <w:rPr>
          <w:rFonts w:hint="eastAsia" w:ascii="方正小标宋简体" w:hAnsi="仿宋" w:eastAsia="方正小标宋简体" w:cs="仿宋_GB2312"/>
          <w:bCs/>
          <w:color w:val="000000" w:themeColor="text1"/>
          <w:sz w:val="32"/>
          <w:szCs w:val="32"/>
          <w14:textFill>
            <w14:solidFill>
              <w14:schemeClr w14:val="tx1"/>
            </w14:solidFill>
          </w14:textFill>
        </w:rPr>
        <w:t>投标人基本信息表</w:t>
      </w:r>
    </w:p>
    <w:tbl>
      <w:tblPr>
        <w:tblStyle w:val="20"/>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062"/>
        <w:gridCol w:w="845"/>
        <w:gridCol w:w="1463"/>
        <w:gridCol w:w="7"/>
        <w:gridCol w:w="1379"/>
        <w:gridCol w:w="815"/>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827"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投标人名称</w:t>
            </w:r>
          </w:p>
        </w:tc>
        <w:tc>
          <w:tcPr>
            <w:tcW w:w="7081" w:type="dxa"/>
            <w:gridSpan w:val="7"/>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827"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注册地址</w:t>
            </w:r>
          </w:p>
        </w:tc>
        <w:tc>
          <w:tcPr>
            <w:tcW w:w="3370" w:type="dxa"/>
            <w:gridSpan w:val="3"/>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386" w:type="dxa"/>
            <w:gridSpan w:val="2"/>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邮政编码</w:t>
            </w:r>
          </w:p>
        </w:tc>
        <w:tc>
          <w:tcPr>
            <w:tcW w:w="2325" w:type="dxa"/>
            <w:gridSpan w:val="2"/>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827" w:type="dxa"/>
            <w:vMerge w:val="restart"/>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联系方式</w:t>
            </w:r>
          </w:p>
        </w:tc>
        <w:tc>
          <w:tcPr>
            <w:tcW w:w="1062"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联系人</w:t>
            </w:r>
          </w:p>
        </w:tc>
        <w:tc>
          <w:tcPr>
            <w:tcW w:w="2308" w:type="dxa"/>
            <w:gridSpan w:val="2"/>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386" w:type="dxa"/>
            <w:gridSpan w:val="2"/>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电    话</w:t>
            </w:r>
          </w:p>
        </w:tc>
        <w:tc>
          <w:tcPr>
            <w:tcW w:w="2325" w:type="dxa"/>
            <w:gridSpan w:val="2"/>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827" w:type="dxa"/>
            <w:vMerge w:val="continue"/>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062"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传  真</w:t>
            </w:r>
          </w:p>
        </w:tc>
        <w:tc>
          <w:tcPr>
            <w:tcW w:w="2308" w:type="dxa"/>
            <w:gridSpan w:val="2"/>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386" w:type="dxa"/>
            <w:gridSpan w:val="2"/>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网    址</w:t>
            </w:r>
          </w:p>
        </w:tc>
        <w:tc>
          <w:tcPr>
            <w:tcW w:w="2325" w:type="dxa"/>
            <w:gridSpan w:val="2"/>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827"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法定代表人</w:t>
            </w:r>
          </w:p>
        </w:tc>
        <w:tc>
          <w:tcPr>
            <w:tcW w:w="1062"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姓名</w:t>
            </w:r>
          </w:p>
        </w:tc>
        <w:tc>
          <w:tcPr>
            <w:tcW w:w="845"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470" w:type="dxa"/>
            <w:gridSpan w:val="2"/>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技术职称</w:t>
            </w:r>
          </w:p>
        </w:tc>
        <w:tc>
          <w:tcPr>
            <w:tcW w:w="1379"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815"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电话</w:t>
            </w:r>
          </w:p>
        </w:tc>
        <w:tc>
          <w:tcPr>
            <w:tcW w:w="1510"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827"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技术负责人</w:t>
            </w:r>
          </w:p>
        </w:tc>
        <w:tc>
          <w:tcPr>
            <w:tcW w:w="1062"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姓名</w:t>
            </w:r>
          </w:p>
        </w:tc>
        <w:tc>
          <w:tcPr>
            <w:tcW w:w="845"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470" w:type="dxa"/>
            <w:gridSpan w:val="2"/>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技术职称</w:t>
            </w:r>
          </w:p>
        </w:tc>
        <w:tc>
          <w:tcPr>
            <w:tcW w:w="1379"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815"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电话</w:t>
            </w:r>
          </w:p>
        </w:tc>
        <w:tc>
          <w:tcPr>
            <w:tcW w:w="1510"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827"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成立时间</w:t>
            </w:r>
          </w:p>
        </w:tc>
        <w:tc>
          <w:tcPr>
            <w:tcW w:w="1907" w:type="dxa"/>
            <w:gridSpan w:val="2"/>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174" w:type="dxa"/>
            <w:gridSpan w:val="5"/>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827"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统一社会信用代码</w:t>
            </w:r>
          </w:p>
        </w:tc>
        <w:tc>
          <w:tcPr>
            <w:tcW w:w="1907" w:type="dxa"/>
            <w:gridSpan w:val="2"/>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463" w:type="dxa"/>
            <w:vMerge w:val="restart"/>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其中</w:t>
            </w:r>
          </w:p>
        </w:tc>
        <w:tc>
          <w:tcPr>
            <w:tcW w:w="1386"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总经理</w:t>
            </w:r>
          </w:p>
        </w:tc>
        <w:tc>
          <w:tcPr>
            <w:tcW w:w="2325" w:type="dxa"/>
            <w:gridSpan w:val="2"/>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827"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注册资本</w:t>
            </w:r>
          </w:p>
        </w:tc>
        <w:tc>
          <w:tcPr>
            <w:tcW w:w="1907" w:type="dxa"/>
            <w:gridSpan w:val="2"/>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463" w:type="dxa"/>
            <w:vMerge w:val="continue"/>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386"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项目经理</w:t>
            </w:r>
          </w:p>
        </w:tc>
        <w:tc>
          <w:tcPr>
            <w:tcW w:w="2325" w:type="dxa"/>
            <w:gridSpan w:val="2"/>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827"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开户银行</w:t>
            </w:r>
          </w:p>
        </w:tc>
        <w:tc>
          <w:tcPr>
            <w:tcW w:w="1907" w:type="dxa"/>
            <w:gridSpan w:val="2"/>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463" w:type="dxa"/>
            <w:vMerge w:val="continue"/>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386"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项目人员</w:t>
            </w:r>
          </w:p>
        </w:tc>
        <w:tc>
          <w:tcPr>
            <w:tcW w:w="2325" w:type="dxa"/>
            <w:gridSpan w:val="2"/>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827"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账    号</w:t>
            </w:r>
          </w:p>
        </w:tc>
        <w:tc>
          <w:tcPr>
            <w:tcW w:w="1907" w:type="dxa"/>
            <w:gridSpan w:val="2"/>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463" w:type="dxa"/>
            <w:vMerge w:val="continue"/>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386"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其他人员</w:t>
            </w:r>
          </w:p>
        </w:tc>
        <w:tc>
          <w:tcPr>
            <w:tcW w:w="2325" w:type="dxa"/>
            <w:gridSpan w:val="2"/>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1827"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经营范围</w:t>
            </w:r>
          </w:p>
        </w:tc>
        <w:tc>
          <w:tcPr>
            <w:tcW w:w="7081" w:type="dxa"/>
            <w:gridSpan w:val="7"/>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827" w:type="dxa"/>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备注</w:t>
            </w:r>
          </w:p>
        </w:tc>
        <w:tc>
          <w:tcPr>
            <w:tcW w:w="7081" w:type="dxa"/>
            <w:gridSpan w:val="7"/>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r>
    </w:tbl>
    <w:p>
      <w:pPr>
        <w:spacing w:before="159" w:beforeLines="50"/>
        <w:jc w:val="left"/>
        <w:rPr>
          <w:rFonts w:ascii="仿宋_GB2312" w:eastAsia="仿宋_GB2312"/>
          <w:b/>
          <w:bCs/>
          <w:color w:val="000000" w:themeColor="text1"/>
          <w:sz w:val="24"/>
          <w14:textFill>
            <w14:solidFill>
              <w14:schemeClr w14:val="tx1"/>
            </w14:solidFill>
          </w14:textFill>
        </w:rPr>
      </w:pPr>
    </w:p>
    <w:p>
      <w:pPr>
        <w:pStyle w:val="51"/>
        <w:rPr>
          <w:rFonts w:ascii="仿宋_GB2312" w:eastAsia="仿宋_GB2312"/>
          <w:b/>
          <w:bCs/>
          <w:color w:val="000000" w:themeColor="text1"/>
          <w:sz w:val="24"/>
          <w:szCs w:val="24"/>
          <w14:textFill>
            <w14:solidFill>
              <w14:schemeClr w14:val="tx1"/>
            </w14:solidFill>
          </w14:textFill>
        </w:rPr>
      </w:pPr>
      <w:r>
        <w:rPr>
          <w:rFonts w:hint="eastAsia"/>
          <w:b/>
          <w:bCs/>
          <w:color w:val="000000" w:themeColor="text1"/>
          <w14:textFill>
            <w14:solidFill>
              <w14:schemeClr w14:val="tx1"/>
            </w14:solidFill>
          </w14:textFill>
        </w:rPr>
        <w:br w:type="page"/>
      </w:r>
      <w:r>
        <w:rPr>
          <w:rFonts w:hint="eastAsia" w:ascii="仿宋_GB2312" w:eastAsia="仿宋_GB2312"/>
          <w:b/>
          <w:bCs/>
          <w:color w:val="000000" w:themeColor="text1"/>
          <w:sz w:val="24"/>
          <w:szCs w:val="24"/>
          <w14:textFill>
            <w14:solidFill>
              <w14:schemeClr w14:val="tx1"/>
            </w14:solidFill>
          </w14:textFill>
        </w:rPr>
        <w:t>附表2</w:t>
      </w:r>
    </w:p>
    <w:p>
      <w:pPr>
        <w:adjustRightInd w:val="0"/>
        <w:snapToGrid w:val="0"/>
        <w:spacing w:before="319" w:beforeLines="100" w:line="360" w:lineRule="auto"/>
        <w:ind w:right="105" w:rightChars="50"/>
        <w:jc w:val="center"/>
        <w:rPr>
          <w:rFonts w:ascii="方正小标宋简体" w:hAnsi="仿宋" w:eastAsia="方正小标宋简体" w:cs="仿宋_GB2312"/>
          <w:bCs/>
          <w:color w:val="000000" w:themeColor="text1"/>
          <w:sz w:val="32"/>
          <w:szCs w:val="32"/>
          <w14:textFill>
            <w14:solidFill>
              <w14:schemeClr w14:val="tx1"/>
            </w14:solidFill>
          </w14:textFill>
        </w:rPr>
      </w:pPr>
      <w:r>
        <w:rPr>
          <w:rFonts w:hint="eastAsia" w:ascii="方正小标宋简体" w:hAnsi="仿宋" w:eastAsia="方正小标宋简体" w:cs="仿宋_GB2312"/>
          <w:bCs/>
          <w:color w:val="000000" w:themeColor="text1"/>
          <w:sz w:val="32"/>
          <w:szCs w:val="32"/>
          <w14:textFill>
            <w14:solidFill>
              <w14:schemeClr w14:val="tx1"/>
            </w14:solidFill>
          </w14:textFill>
        </w:rPr>
        <w:t>2018年1月1日至今业绩汇总表</w:t>
      </w:r>
    </w:p>
    <w:tbl>
      <w:tblPr>
        <w:tblStyle w:val="20"/>
        <w:tblW w:w="85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05"/>
        <w:gridCol w:w="3241"/>
        <w:gridCol w:w="1832"/>
        <w:gridCol w:w="1691"/>
        <w:gridCol w:w="11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68" w:hRule="atLeast"/>
          <w:jc w:val="center"/>
        </w:trPr>
        <w:tc>
          <w:tcPr>
            <w:tcW w:w="705"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序号</w:t>
            </w:r>
          </w:p>
        </w:tc>
        <w:tc>
          <w:tcPr>
            <w:tcW w:w="3241" w:type="dxa"/>
            <w:tcBorders>
              <w:top w:val="single" w:color="000000" w:sz="6" w:space="0"/>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合同名称</w:t>
            </w:r>
          </w:p>
        </w:tc>
        <w:tc>
          <w:tcPr>
            <w:tcW w:w="1832" w:type="dxa"/>
            <w:tcBorders>
              <w:top w:val="single" w:color="000000" w:sz="6" w:space="0"/>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合同起止时间</w:t>
            </w:r>
          </w:p>
        </w:tc>
        <w:tc>
          <w:tcPr>
            <w:tcW w:w="1691" w:type="dxa"/>
            <w:tcBorders>
              <w:top w:val="single" w:color="000000" w:sz="6" w:space="0"/>
              <w:bottom w:val="single" w:color="000000" w:sz="6" w:space="0"/>
              <w:right w:val="single" w:color="auto" w:sz="4" w:space="0"/>
            </w:tcBorders>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合同金额</w:t>
            </w:r>
          </w:p>
          <w:p>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（万元）</w:t>
            </w:r>
          </w:p>
        </w:tc>
        <w:tc>
          <w:tcPr>
            <w:tcW w:w="1127" w:type="dxa"/>
            <w:tcBorders>
              <w:top w:val="single" w:color="000000" w:sz="6" w:space="0"/>
              <w:left w:val="single" w:color="auto" w:sz="4" w:space="0"/>
              <w:bottom w:val="single" w:color="000000" w:sz="6" w:space="0"/>
              <w:right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1" w:hRule="atLeast"/>
          <w:jc w:val="center"/>
        </w:trPr>
        <w:tc>
          <w:tcPr>
            <w:tcW w:w="705" w:type="dxa"/>
            <w:tcBorders>
              <w:left w:val="single" w:color="000000" w:sz="6" w:space="0"/>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3241" w:type="dxa"/>
            <w:tcBorders>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1832" w:type="dxa"/>
            <w:tcBorders>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1691" w:type="dxa"/>
            <w:tcBorders>
              <w:bottom w:val="single" w:color="000000" w:sz="6" w:space="0"/>
              <w:right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p>
        </w:tc>
        <w:tc>
          <w:tcPr>
            <w:tcW w:w="1127" w:type="dxa"/>
            <w:tcBorders>
              <w:left w:val="single" w:color="auto" w:sz="4" w:space="0"/>
              <w:bottom w:val="single" w:color="000000" w:sz="6" w:space="0"/>
              <w:right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2" w:hRule="atLeast"/>
          <w:jc w:val="center"/>
        </w:trPr>
        <w:tc>
          <w:tcPr>
            <w:tcW w:w="705" w:type="dxa"/>
            <w:tcBorders>
              <w:left w:val="single" w:color="000000" w:sz="6" w:space="0"/>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3241" w:type="dxa"/>
            <w:tcBorders>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1832" w:type="dxa"/>
            <w:tcBorders>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1691" w:type="dxa"/>
            <w:tcBorders>
              <w:bottom w:val="single" w:color="000000" w:sz="6" w:space="0"/>
              <w:right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p>
        </w:tc>
        <w:tc>
          <w:tcPr>
            <w:tcW w:w="1127" w:type="dxa"/>
            <w:tcBorders>
              <w:left w:val="single" w:color="auto" w:sz="4" w:space="0"/>
              <w:bottom w:val="single" w:color="000000" w:sz="6" w:space="0"/>
              <w:right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3" w:hRule="atLeast"/>
          <w:jc w:val="center"/>
        </w:trPr>
        <w:tc>
          <w:tcPr>
            <w:tcW w:w="705" w:type="dxa"/>
            <w:tcBorders>
              <w:left w:val="single" w:color="000000" w:sz="6" w:space="0"/>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3241" w:type="dxa"/>
            <w:tcBorders>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1832" w:type="dxa"/>
            <w:tcBorders>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1691" w:type="dxa"/>
            <w:tcBorders>
              <w:bottom w:val="single" w:color="000000" w:sz="6" w:space="0"/>
              <w:right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p>
        </w:tc>
        <w:tc>
          <w:tcPr>
            <w:tcW w:w="1127" w:type="dxa"/>
            <w:tcBorders>
              <w:left w:val="single" w:color="auto" w:sz="4" w:space="0"/>
              <w:bottom w:val="single" w:color="000000" w:sz="6" w:space="0"/>
              <w:right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23" w:hRule="atLeast"/>
          <w:jc w:val="center"/>
        </w:trPr>
        <w:tc>
          <w:tcPr>
            <w:tcW w:w="705" w:type="dxa"/>
            <w:tcBorders>
              <w:left w:val="single" w:color="000000" w:sz="6" w:space="0"/>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3241" w:type="dxa"/>
            <w:tcBorders>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1832" w:type="dxa"/>
            <w:tcBorders>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1691" w:type="dxa"/>
            <w:tcBorders>
              <w:bottom w:val="single" w:color="000000" w:sz="6" w:space="0"/>
              <w:right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p>
        </w:tc>
        <w:tc>
          <w:tcPr>
            <w:tcW w:w="1127" w:type="dxa"/>
            <w:tcBorders>
              <w:left w:val="single" w:color="auto" w:sz="4" w:space="0"/>
              <w:bottom w:val="single" w:color="000000" w:sz="6" w:space="0"/>
              <w:right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6" w:hRule="atLeast"/>
          <w:jc w:val="center"/>
        </w:trPr>
        <w:tc>
          <w:tcPr>
            <w:tcW w:w="705" w:type="dxa"/>
            <w:tcBorders>
              <w:left w:val="single" w:color="000000" w:sz="6" w:space="0"/>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3241" w:type="dxa"/>
            <w:tcBorders>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1832" w:type="dxa"/>
            <w:tcBorders>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1691" w:type="dxa"/>
            <w:tcBorders>
              <w:bottom w:val="single" w:color="000000" w:sz="6" w:space="0"/>
              <w:right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p>
        </w:tc>
        <w:tc>
          <w:tcPr>
            <w:tcW w:w="1127" w:type="dxa"/>
            <w:tcBorders>
              <w:left w:val="single" w:color="auto" w:sz="4" w:space="0"/>
              <w:bottom w:val="single" w:color="000000" w:sz="6" w:space="0"/>
              <w:right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8" w:hRule="atLeast"/>
          <w:jc w:val="center"/>
        </w:trPr>
        <w:tc>
          <w:tcPr>
            <w:tcW w:w="705" w:type="dxa"/>
            <w:tcBorders>
              <w:left w:val="single" w:color="000000" w:sz="6" w:space="0"/>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3241" w:type="dxa"/>
            <w:tcBorders>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1832" w:type="dxa"/>
            <w:tcBorders>
              <w:bottom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1691" w:type="dxa"/>
            <w:tcBorders>
              <w:bottom w:val="single" w:color="000000" w:sz="6" w:space="0"/>
              <w:right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p>
        </w:tc>
        <w:tc>
          <w:tcPr>
            <w:tcW w:w="1127" w:type="dxa"/>
            <w:tcBorders>
              <w:left w:val="single" w:color="auto" w:sz="4" w:space="0"/>
              <w:bottom w:val="single" w:color="000000" w:sz="6" w:space="0"/>
              <w:right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0" w:hRule="atLeast"/>
          <w:jc w:val="center"/>
        </w:trPr>
        <w:tc>
          <w:tcPr>
            <w:tcW w:w="705" w:type="dxa"/>
            <w:tcBorders>
              <w:left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3241" w:type="dxa"/>
            <w:tcBorders>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1832" w:type="dxa"/>
            <w:tcBorders>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1691" w:type="dxa"/>
            <w:tcBorders>
              <w:right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p>
        </w:tc>
        <w:tc>
          <w:tcPr>
            <w:tcW w:w="1127" w:type="dxa"/>
            <w:tcBorders>
              <w:left w:val="single" w:color="auto" w:sz="4" w:space="0"/>
              <w:right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0" w:hRule="atLeast"/>
          <w:jc w:val="center"/>
        </w:trPr>
        <w:tc>
          <w:tcPr>
            <w:tcW w:w="705" w:type="dxa"/>
            <w:tcBorders>
              <w:left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3241" w:type="dxa"/>
            <w:tcBorders>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1832" w:type="dxa"/>
            <w:tcBorders>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1691" w:type="dxa"/>
            <w:tcBorders>
              <w:right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p>
        </w:tc>
        <w:tc>
          <w:tcPr>
            <w:tcW w:w="1127" w:type="dxa"/>
            <w:tcBorders>
              <w:left w:val="single" w:color="auto" w:sz="4" w:space="0"/>
              <w:right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77" w:hRule="atLeast"/>
          <w:jc w:val="center"/>
        </w:trPr>
        <w:tc>
          <w:tcPr>
            <w:tcW w:w="705" w:type="dxa"/>
            <w:tcBorders>
              <w:left w:val="single" w:color="000000" w:sz="6" w:space="0"/>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3241" w:type="dxa"/>
            <w:tcBorders>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1832" w:type="dxa"/>
            <w:tcBorders>
              <w:right w:val="single" w:color="000000" w:sz="6" w:space="0"/>
            </w:tcBorders>
            <w:vAlign w:val="center"/>
          </w:tcPr>
          <w:p>
            <w:pPr>
              <w:jc w:val="center"/>
              <w:rPr>
                <w:rFonts w:ascii="仿宋_GB2312" w:eastAsia="仿宋_GB2312"/>
                <w:color w:val="000000" w:themeColor="text1"/>
                <w:sz w:val="24"/>
                <w14:textFill>
                  <w14:solidFill>
                    <w14:schemeClr w14:val="tx1"/>
                  </w14:solidFill>
                </w14:textFill>
              </w:rPr>
            </w:pPr>
          </w:p>
        </w:tc>
        <w:tc>
          <w:tcPr>
            <w:tcW w:w="1691" w:type="dxa"/>
            <w:tcBorders>
              <w:right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p>
        </w:tc>
        <w:tc>
          <w:tcPr>
            <w:tcW w:w="1127" w:type="dxa"/>
            <w:tcBorders>
              <w:left w:val="single" w:color="auto" w:sz="4" w:space="0"/>
              <w:right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p>
        </w:tc>
      </w:tr>
    </w:tbl>
    <w:p>
      <w:pPr>
        <w:pStyle w:val="51"/>
        <w:ind w:firstLine="210" w:firstLineChars="100"/>
        <w:rPr>
          <w:rFonts w:ascii="仿宋_GB2312" w:eastAsia="仿宋_GB2312"/>
          <w:b/>
          <w:bCs/>
          <w:color w:val="000000" w:themeColor="text1"/>
          <w:sz w:val="24"/>
          <w:szCs w:val="24"/>
          <w14:textFill>
            <w14:solidFill>
              <w14:schemeClr w14:val="tx1"/>
            </w14:solidFill>
          </w14:textFill>
        </w:rPr>
      </w:pPr>
      <w:r>
        <w:rPr>
          <w:color w:val="000000" w:themeColor="text1"/>
          <w14:textFill>
            <w14:solidFill>
              <w14:schemeClr w14:val="tx1"/>
            </w14:solidFill>
          </w14:textFill>
        </w:rPr>
        <w:br w:type="page"/>
      </w:r>
      <w:r>
        <w:rPr>
          <w:rFonts w:hint="eastAsia" w:ascii="仿宋_GB2312" w:eastAsia="仿宋_GB2312"/>
          <w:b/>
          <w:bCs/>
          <w:color w:val="000000" w:themeColor="text1"/>
          <w:sz w:val="24"/>
          <w:szCs w:val="24"/>
          <w14:textFill>
            <w14:solidFill>
              <w14:schemeClr w14:val="tx1"/>
            </w14:solidFill>
          </w14:textFill>
        </w:rPr>
        <w:t>附表3</w:t>
      </w:r>
    </w:p>
    <w:p>
      <w:pPr>
        <w:adjustRightInd w:val="0"/>
        <w:snapToGrid w:val="0"/>
        <w:spacing w:before="319" w:beforeLines="100" w:line="360" w:lineRule="auto"/>
        <w:ind w:right="105" w:rightChars="50"/>
        <w:jc w:val="center"/>
        <w:rPr>
          <w:rFonts w:ascii="方正小标宋简体" w:hAnsi="仿宋" w:eastAsia="方正小标宋简体" w:cs="仿宋_GB2312"/>
          <w:bCs/>
          <w:color w:val="000000" w:themeColor="text1"/>
          <w:sz w:val="32"/>
          <w:szCs w:val="32"/>
          <w14:textFill>
            <w14:solidFill>
              <w14:schemeClr w14:val="tx1"/>
            </w14:solidFill>
          </w14:textFill>
        </w:rPr>
      </w:pPr>
      <w:r>
        <w:rPr>
          <w:rFonts w:hint="eastAsia" w:ascii="方正小标宋简体" w:hAnsi="仿宋" w:eastAsia="方正小标宋简体" w:cs="仿宋_GB2312"/>
          <w:bCs/>
          <w:color w:val="000000" w:themeColor="text1"/>
          <w:sz w:val="32"/>
          <w:szCs w:val="32"/>
          <w14:textFill>
            <w14:solidFill>
              <w14:schemeClr w14:val="tx1"/>
            </w14:solidFill>
          </w14:textFill>
        </w:rPr>
        <w:t>单个项目情况表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5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2695"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项目名称</w:t>
            </w:r>
          </w:p>
        </w:tc>
        <w:tc>
          <w:tcPr>
            <w:tcW w:w="5644" w:type="dxa"/>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2695"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项目所在地</w:t>
            </w:r>
          </w:p>
        </w:tc>
        <w:tc>
          <w:tcPr>
            <w:tcW w:w="5644" w:type="dxa"/>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2695"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采购人名称</w:t>
            </w:r>
          </w:p>
        </w:tc>
        <w:tc>
          <w:tcPr>
            <w:tcW w:w="5644" w:type="dxa"/>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2695"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采购人地址</w:t>
            </w:r>
          </w:p>
        </w:tc>
        <w:tc>
          <w:tcPr>
            <w:tcW w:w="5644" w:type="dxa"/>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2695"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采购人联系人及电话</w:t>
            </w:r>
          </w:p>
        </w:tc>
        <w:tc>
          <w:tcPr>
            <w:tcW w:w="5644" w:type="dxa"/>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2695"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合同价格</w:t>
            </w:r>
          </w:p>
        </w:tc>
        <w:tc>
          <w:tcPr>
            <w:tcW w:w="5644" w:type="dxa"/>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2695"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合同起止日期</w:t>
            </w:r>
          </w:p>
        </w:tc>
        <w:tc>
          <w:tcPr>
            <w:tcW w:w="5644" w:type="dxa"/>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jc w:val="center"/>
        </w:trPr>
        <w:tc>
          <w:tcPr>
            <w:tcW w:w="2695"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项目描述</w:t>
            </w:r>
          </w:p>
        </w:tc>
        <w:tc>
          <w:tcPr>
            <w:tcW w:w="5644" w:type="dxa"/>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695"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备注</w:t>
            </w:r>
          </w:p>
        </w:tc>
        <w:tc>
          <w:tcPr>
            <w:tcW w:w="5644" w:type="dxa"/>
            <w:vAlign w:val="center"/>
          </w:tcPr>
          <w:p>
            <w:pPr>
              <w:jc w:val="center"/>
              <w:rPr>
                <w:rFonts w:ascii="仿宋_GB2312" w:eastAsia="仿宋_GB2312"/>
                <w:color w:val="000000" w:themeColor="text1"/>
                <w:sz w:val="24"/>
                <w14:textFill>
                  <w14:solidFill>
                    <w14:schemeClr w14:val="tx1"/>
                  </w14:solidFill>
                </w14:textFill>
              </w:rPr>
            </w:pPr>
          </w:p>
        </w:tc>
      </w:tr>
    </w:tbl>
    <w:p>
      <w:pPr>
        <w:spacing w:line="440" w:lineRule="exact"/>
        <w:ind w:left="2" w:leftChars="1" w:firstLine="480" w:firstLineChars="200"/>
        <w:rPr>
          <w:rFonts w:ascii="仿宋_GB2312" w:eastAsia="仿宋_GB2312"/>
          <w:b/>
          <w:bCs/>
          <w:color w:val="auto"/>
          <w:sz w:val="24"/>
        </w:rPr>
      </w:pPr>
      <w:r>
        <w:rPr>
          <w:rFonts w:hint="eastAsia" w:ascii="仿宋_GB2312" w:eastAsia="仿宋_GB2312"/>
          <w:b/>
          <w:bCs/>
          <w:color w:val="auto"/>
          <w:sz w:val="24"/>
        </w:rPr>
        <w:t>注：附相关</w:t>
      </w:r>
      <w:r>
        <w:rPr>
          <w:rFonts w:hint="eastAsia" w:ascii="仿宋_GB2312" w:eastAsia="仿宋_GB2312"/>
          <w:b/>
          <w:bCs/>
          <w:color w:val="auto"/>
          <w:sz w:val="24"/>
          <w:lang w:val="en-US" w:eastAsia="zh-CN"/>
        </w:rPr>
        <w:t>评审</w:t>
      </w:r>
      <w:r>
        <w:rPr>
          <w:rFonts w:hint="eastAsia" w:ascii="仿宋_GB2312" w:eastAsia="仿宋_GB2312"/>
          <w:b/>
          <w:bCs/>
          <w:color w:val="auto"/>
          <w:sz w:val="24"/>
        </w:rPr>
        <w:t>材料复印件</w:t>
      </w:r>
      <w:r>
        <w:rPr>
          <w:rFonts w:hint="eastAsia" w:ascii="仿宋_GB2312" w:eastAsia="仿宋_GB2312"/>
          <w:b/>
          <w:bCs/>
          <w:color w:val="auto"/>
          <w:sz w:val="24"/>
          <w:lang w:val="en-US" w:eastAsia="zh-CN"/>
        </w:rPr>
        <w:t>加盖投标人公章</w:t>
      </w:r>
      <w:r>
        <w:rPr>
          <w:rFonts w:hint="eastAsia" w:ascii="仿宋_GB2312" w:eastAsia="仿宋_GB2312"/>
          <w:b/>
          <w:bCs/>
          <w:color w:val="auto"/>
          <w:sz w:val="24"/>
        </w:rPr>
        <w:t>。</w:t>
      </w:r>
    </w:p>
    <w:p>
      <w:pPr>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br w:type="page"/>
      </w:r>
    </w:p>
    <w:p>
      <w:pPr>
        <w:adjustRightInd w:val="0"/>
        <w:snapToGrid w:val="0"/>
        <w:spacing w:before="319" w:beforeLines="100" w:after="319" w:afterLines="100" w:line="360" w:lineRule="auto"/>
        <w:jc w:val="left"/>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附表</w:t>
      </w:r>
      <w:r>
        <w:rPr>
          <w:rFonts w:ascii="仿宋_GB2312" w:eastAsia="仿宋_GB2312"/>
          <w:b/>
          <w:bCs/>
          <w:color w:val="000000" w:themeColor="text1"/>
          <w:sz w:val="24"/>
          <w14:textFill>
            <w14:solidFill>
              <w14:schemeClr w14:val="tx1"/>
            </w14:solidFill>
          </w14:textFill>
        </w:rPr>
        <w:t>4</w:t>
      </w:r>
    </w:p>
    <w:p>
      <w:pPr>
        <w:adjustRightInd w:val="0"/>
        <w:snapToGrid w:val="0"/>
        <w:spacing w:before="319" w:beforeLines="100" w:after="319" w:afterLines="100" w:line="360" w:lineRule="auto"/>
        <w:jc w:val="center"/>
        <w:rPr>
          <w:rFonts w:ascii="方正小标宋简体" w:hAnsi="仿宋" w:eastAsia="方正小标宋简体" w:cs="仿宋_GB2312"/>
          <w:color w:val="000000" w:themeColor="text1"/>
          <w:sz w:val="36"/>
          <w:szCs w:val="36"/>
          <w14:textFill>
            <w14:solidFill>
              <w14:schemeClr w14:val="tx1"/>
            </w14:solidFill>
          </w14:textFill>
        </w:rPr>
      </w:pPr>
      <w:r>
        <w:rPr>
          <w:rFonts w:hint="eastAsia" w:ascii="方正小标宋简体" w:hAnsi="仿宋" w:eastAsia="方正小标宋简体" w:cs="仿宋_GB2312"/>
          <w:color w:val="000000" w:themeColor="text1"/>
          <w:sz w:val="36"/>
          <w:szCs w:val="36"/>
          <w14:textFill>
            <w14:solidFill>
              <w14:schemeClr w14:val="tx1"/>
            </w14:solidFill>
          </w14:textFill>
        </w:rPr>
        <w:t>拟配置服务人员一览表</w:t>
      </w:r>
    </w:p>
    <w:tbl>
      <w:tblPr>
        <w:tblStyle w:val="20"/>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275"/>
        <w:gridCol w:w="1134"/>
        <w:gridCol w:w="1276"/>
        <w:gridCol w:w="1276"/>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姓名</w:t>
            </w:r>
          </w:p>
        </w:tc>
        <w:tc>
          <w:tcPr>
            <w:tcW w:w="1134"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性别</w:t>
            </w:r>
          </w:p>
        </w:tc>
        <w:tc>
          <w:tcPr>
            <w:tcW w:w="1276"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拟派岗位</w:t>
            </w:r>
          </w:p>
        </w:tc>
        <w:tc>
          <w:tcPr>
            <w:tcW w:w="1276"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学历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w:t>
            </w:r>
          </w:p>
        </w:tc>
        <w:tc>
          <w:tcPr>
            <w:tcW w:w="1276"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1</w:t>
            </w: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bCs/>
                <w:color w:val="000000" w:themeColor="text1"/>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w:t>
            </w: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bCs/>
                <w:color w:val="000000" w:themeColor="text1"/>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3</w:t>
            </w: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bCs/>
                <w:color w:val="000000" w:themeColor="text1"/>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4</w:t>
            </w: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bCs/>
                <w:color w:val="000000" w:themeColor="text1"/>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5</w:t>
            </w: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bCs/>
                <w:color w:val="000000" w:themeColor="text1"/>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w:t>
            </w: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w:t>
            </w:r>
          </w:p>
        </w:tc>
        <w:tc>
          <w:tcPr>
            <w:tcW w:w="1134"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bCs/>
                <w:color w:val="000000" w:themeColor="text1"/>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bCs/>
                <w:color w:val="000000" w:themeColor="text1"/>
                <w:sz w:val="24"/>
                <w14:textFill>
                  <w14:solidFill>
                    <w14:schemeClr w14:val="tx1"/>
                  </w14:solidFill>
                </w14:textFill>
              </w:rPr>
            </w:pPr>
          </w:p>
        </w:tc>
      </w:tr>
    </w:tbl>
    <w:p>
      <w:pPr>
        <w:adjustRightInd w:val="0"/>
        <w:snapToGrid w:val="0"/>
        <w:spacing w:before="159" w:beforeLines="50" w:line="360" w:lineRule="auto"/>
        <w:ind w:firstLine="420" w:firstLineChars="200"/>
        <w:jc w:val="left"/>
        <w:rPr>
          <w:rFonts w:ascii="仿宋_GB2312" w:eastAsia="仿宋_GB2312"/>
          <w:b/>
          <w:color w:val="000000" w:themeColor="text1"/>
          <w:szCs w:val="21"/>
          <w14:textFill>
            <w14:solidFill>
              <w14:schemeClr w14:val="tx1"/>
            </w14:solidFill>
          </w14:textFill>
        </w:rPr>
      </w:pPr>
      <w:r>
        <w:rPr>
          <w:rFonts w:hint="eastAsia" w:ascii="仿宋_GB2312" w:eastAsia="仿宋_GB2312"/>
          <w:b/>
          <w:color w:val="000000" w:themeColor="text1"/>
          <w14:textFill>
            <w14:solidFill>
              <w14:schemeClr w14:val="tx1"/>
            </w14:solidFill>
          </w14:textFill>
        </w:rPr>
        <w:t>填表说明：</w:t>
      </w:r>
    </w:p>
    <w:p>
      <w:pPr>
        <w:adjustRightInd w:val="0"/>
        <w:snapToGrid w:val="0"/>
        <w:spacing w:line="360" w:lineRule="auto"/>
        <w:ind w:firstLine="420" w:firstLineChars="200"/>
        <w:jc w:val="left"/>
        <w:rPr>
          <w:rFonts w:ascii="仿宋_GB2312" w:eastAsia="仿宋_GB2312"/>
          <w:b/>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 xml:space="preserve">1.提供上述人员身份证、相关证书等相应证明材料复印件加盖投标人公章；  </w:t>
      </w:r>
    </w:p>
    <w:p>
      <w:pPr>
        <w:adjustRightInd w:val="0"/>
        <w:snapToGrid w:val="0"/>
        <w:spacing w:line="360" w:lineRule="auto"/>
        <w:ind w:firstLine="420" w:firstLineChars="200"/>
        <w:jc w:val="left"/>
        <w:rPr>
          <w:rFonts w:ascii="仿宋_GB2312" w:hAnsi="仿宋" w:eastAsia="仿宋_GB2312"/>
          <w:color w:val="000000" w:themeColor="text1"/>
          <w:sz w:val="24"/>
          <w14:textFill>
            <w14:solidFill>
              <w14:schemeClr w14:val="tx1"/>
            </w14:solidFill>
          </w14:textFill>
        </w:rPr>
      </w:pPr>
      <w:r>
        <w:rPr>
          <w:rFonts w:hint="eastAsia" w:ascii="仿宋_GB2312" w:eastAsia="仿宋_GB2312"/>
          <w:b/>
          <w:color w:val="000000" w:themeColor="text1"/>
          <w14:textFill>
            <w14:solidFill>
              <w14:schemeClr w14:val="tx1"/>
            </w14:solidFill>
          </w14:textFill>
        </w:rPr>
        <w:t>2.此表可根据实际情况进行拓展。</w:t>
      </w:r>
      <w:r>
        <w:rPr>
          <w:rFonts w:hint="eastAsia" w:ascii="仿宋_GB2312" w:hAnsi="仿宋" w:eastAsia="仿宋_GB2312"/>
          <w:color w:val="000000" w:themeColor="text1"/>
          <w:sz w:val="24"/>
          <w14:textFill>
            <w14:solidFill>
              <w14:schemeClr w14:val="tx1"/>
            </w14:solidFill>
          </w14:textFill>
        </w:rPr>
        <w:t xml:space="preserve"> </w:t>
      </w:r>
    </w:p>
    <w:p>
      <w:pPr>
        <w:pStyle w:val="16"/>
        <w:widowControl w:val="0"/>
        <w:snapToGrid w:val="0"/>
        <w:spacing w:before="159" w:beforeLines="50" w:beforeAutospacing="0" w:after="0" w:afterAutospacing="0" w:line="360" w:lineRule="auto"/>
        <w:ind w:firstLine="480" w:firstLineChars="200"/>
        <w:rPr>
          <w:rFonts w:ascii="仿宋_GB2312" w:eastAsia="仿宋_GB2312" w:cs="Lucida Sans Unicode"/>
          <w:b/>
          <w:color w:val="000000" w:themeColor="text1"/>
          <w:kern w:val="2"/>
          <w14:textFill>
            <w14:solidFill>
              <w14:schemeClr w14:val="tx1"/>
            </w14:solidFill>
          </w14:textFill>
        </w:rPr>
      </w:pPr>
      <w:r>
        <w:rPr>
          <w:rFonts w:hint="eastAsia" w:ascii="仿宋_GB2312" w:eastAsia="仿宋_GB2312" w:cs="Lucida Sans Unicode"/>
          <w:b/>
          <w:color w:val="000000" w:themeColor="text1"/>
          <w:kern w:val="2"/>
          <w14:textFill>
            <w14:solidFill>
              <w14:schemeClr w14:val="tx1"/>
            </w14:solidFill>
          </w14:textFill>
        </w:rPr>
        <w:t xml:space="preserve"> </w:t>
      </w:r>
    </w:p>
    <w:p>
      <w:pPr>
        <w:pStyle w:val="13"/>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p>
    <w:p>
      <w:pPr>
        <w:pStyle w:val="13"/>
        <w:rPr>
          <w:rFonts w:ascii="仿宋" w:hAnsi="仿宋" w:eastAsia="宋体"/>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 xml:space="preserve"> </w:t>
      </w:r>
    </w:p>
    <w:p>
      <w:pPr>
        <w:pStyle w:val="13"/>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pStyle w:val="13"/>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 xml:space="preserve"> </w:t>
      </w:r>
    </w:p>
    <w:p>
      <w:pPr>
        <w:pStyle w:val="13"/>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adjustRightInd w:val="0"/>
        <w:snapToGrid w:val="0"/>
        <w:spacing w:line="480" w:lineRule="auto"/>
        <w:ind w:right="105" w:rightChars="50"/>
        <w:jc w:val="lef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投标人名称（加盖单位公章）：</w:t>
      </w:r>
      <w:r>
        <w:rPr>
          <w:rFonts w:hint="eastAsia" w:ascii="仿宋_GB2312" w:hAnsi="仿宋" w:eastAsia="仿宋_GB2312"/>
          <w:color w:val="000000" w:themeColor="text1"/>
          <w:sz w:val="24"/>
          <w:u w:val="single"/>
          <w14:textFill>
            <w14:solidFill>
              <w14:schemeClr w14:val="tx1"/>
            </w14:solidFill>
          </w14:textFill>
        </w:rPr>
        <w:t xml:space="preserve">               </w:t>
      </w:r>
      <w:r>
        <w:rPr>
          <w:rFonts w:hint="eastAsia" w:ascii="仿宋_GB2312" w:hAnsi="仿宋" w:eastAsia="仿宋_GB2312"/>
          <w:color w:val="000000" w:themeColor="text1"/>
          <w:sz w:val="24"/>
          <w14:textFill>
            <w14:solidFill>
              <w14:schemeClr w14:val="tx1"/>
            </w14:solidFill>
          </w14:textFill>
        </w:rPr>
        <w:t xml:space="preserve"> </w:t>
      </w:r>
    </w:p>
    <w:p>
      <w:pPr>
        <w:rPr>
          <w:color w:val="000000" w:themeColor="text1"/>
          <w:u w:val="single"/>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日      期：</w:t>
      </w:r>
      <w:r>
        <w:rPr>
          <w:rFonts w:hint="eastAsia"/>
          <w:color w:val="000000" w:themeColor="text1"/>
          <w:u w:val="single"/>
          <w14:textFill>
            <w14:solidFill>
              <w14:schemeClr w14:val="tx1"/>
            </w14:solidFill>
          </w14:textFill>
        </w:rPr>
        <w:t xml:space="preserve">               </w:t>
      </w:r>
    </w:p>
    <w:p>
      <w:pP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br w:type="page"/>
      </w:r>
    </w:p>
    <w:p>
      <w:pPr>
        <w:pStyle w:val="3"/>
        <w:adjustRightInd w:val="0"/>
        <w:snapToGrid w:val="0"/>
        <w:spacing w:before="0" w:after="0" w:line="360" w:lineRule="auto"/>
        <w:jc w:val="left"/>
        <w:rPr>
          <w:rFonts w:ascii="仿宋_GB2312" w:hAnsi="仿宋" w:eastAsia="仿宋_GB2312" w:cs="仿宋_GB2312"/>
          <w:color w:val="000000" w:themeColor="text1"/>
          <w:szCs w:val="28"/>
          <w14:textFill>
            <w14:solidFill>
              <w14:schemeClr w14:val="tx1"/>
            </w14:solidFill>
          </w14:textFill>
        </w:rPr>
      </w:pPr>
      <w:r>
        <w:rPr>
          <w:rFonts w:hint="eastAsia" w:ascii="仿宋_GB2312" w:hAnsi="仿宋" w:eastAsia="仿宋_GB2312" w:cs="仿宋_GB2312"/>
          <w:color w:val="000000" w:themeColor="text1"/>
          <w:szCs w:val="28"/>
          <w14:textFill>
            <w14:solidFill>
              <w14:schemeClr w14:val="tx1"/>
            </w14:solidFill>
          </w14:textFill>
        </w:rPr>
        <w:t>格式24</w:t>
      </w:r>
    </w:p>
    <w:p>
      <w:pPr>
        <w:adjustRightInd w:val="0"/>
        <w:snapToGrid w:val="0"/>
        <w:spacing w:line="360" w:lineRule="auto"/>
        <w:ind w:right="105" w:rightChars="50"/>
        <w:jc w:val="center"/>
        <w:rPr>
          <w:rFonts w:ascii="方正小标宋简体" w:hAnsi="仿宋" w:eastAsia="方正小标宋简体" w:cs="仿宋_GB2312"/>
          <w:bCs/>
          <w:color w:val="000000" w:themeColor="text1"/>
          <w:sz w:val="32"/>
          <w:szCs w:val="32"/>
          <w14:textFill>
            <w14:solidFill>
              <w14:schemeClr w14:val="tx1"/>
            </w14:solidFill>
          </w14:textFill>
        </w:rPr>
      </w:pPr>
      <w:r>
        <w:rPr>
          <w:rFonts w:hint="eastAsia" w:ascii="方正小标宋简体" w:hAnsi="仿宋" w:eastAsia="方正小标宋简体" w:cs="仿宋_GB2312"/>
          <w:bCs/>
          <w:color w:val="000000" w:themeColor="text1"/>
          <w:sz w:val="32"/>
          <w:szCs w:val="32"/>
          <w14:textFill>
            <w14:solidFill>
              <w14:schemeClr w14:val="tx1"/>
            </w14:solidFill>
          </w14:textFill>
        </w:rPr>
        <w:t>服务方案</w:t>
      </w:r>
    </w:p>
    <w:p>
      <w:pPr>
        <w:jc w:val="center"/>
        <w:rPr>
          <w:rFonts w:ascii="仿宋_GB2312" w:hAnsi="仿宋_GB2312" w:eastAsia="仿宋_GB2312" w:cs="仿宋_GB2312"/>
          <w:color w:val="000000" w:themeColor="text1"/>
          <w:sz w:val="30"/>
          <w:szCs w:val="30"/>
          <w14:textFill>
            <w14:solidFill>
              <w14:schemeClr w14:val="tx1"/>
            </w14:solidFill>
          </w14:textFill>
        </w:rPr>
      </w:pPr>
    </w:p>
    <w:p>
      <w:pPr>
        <w:jc w:val="left"/>
        <w:rPr>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 xml:space="preserve"> 投标人可根据自身情况编制符合文件需求的服务方案，格式自拟。</w:t>
      </w:r>
      <w:r>
        <w:rPr>
          <w:rFonts w:hint="eastAsia"/>
          <w:color w:val="000000" w:themeColor="text1"/>
          <w:szCs w:val="20"/>
          <w14:textFill>
            <w14:solidFill>
              <w14:schemeClr w14:val="tx1"/>
            </w14:solidFill>
          </w14:textFill>
        </w:rPr>
        <w:br w:type="page"/>
      </w:r>
      <w:bookmarkEnd w:id="109"/>
      <w:bookmarkEnd w:id="110"/>
      <w:bookmarkStart w:id="112" w:name="_Toc8241"/>
      <w:bookmarkStart w:id="113" w:name="_Toc17332"/>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7"/>
        <w:rPr>
          <w:color w:val="000000" w:themeColor="text1"/>
          <w14:textFill>
            <w14:solidFill>
              <w14:schemeClr w14:val="tx1"/>
            </w14:solidFill>
          </w14:textFill>
        </w:rPr>
      </w:pPr>
    </w:p>
    <w:p>
      <w:pPr>
        <w:pStyle w:val="27"/>
        <w:rPr>
          <w:color w:val="000000" w:themeColor="text1"/>
          <w14:textFill>
            <w14:solidFill>
              <w14:schemeClr w14:val="tx1"/>
            </w14:solidFill>
          </w14:textFill>
        </w:rPr>
      </w:pPr>
    </w:p>
    <w:p>
      <w:pPr>
        <w:pStyle w:val="27"/>
        <w:rPr>
          <w:color w:val="000000" w:themeColor="text1"/>
          <w14:textFill>
            <w14:solidFill>
              <w14:schemeClr w14:val="tx1"/>
            </w14:solidFill>
          </w14:textFill>
        </w:rPr>
      </w:pPr>
    </w:p>
    <w:p>
      <w:pPr>
        <w:pStyle w:val="27"/>
        <w:rPr>
          <w:color w:val="000000" w:themeColor="text1"/>
          <w14:textFill>
            <w14:solidFill>
              <w14:schemeClr w14:val="tx1"/>
            </w14:solidFill>
          </w14:textFill>
        </w:rPr>
      </w:pPr>
    </w:p>
    <w:p>
      <w:pPr>
        <w:pStyle w:val="2"/>
        <w:spacing w:line="360" w:lineRule="auto"/>
        <w:rPr>
          <w:rFonts w:ascii="方正小标宋简体" w:hAnsi="仿宋" w:eastAsia="方正小标宋简体" w:cs="仿宋_GB2312"/>
          <w:color w:val="000000" w:themeColor="text1"/>
          <w14:textFill>
            <w14:solidFill>
              <w14:schemeClr w14:val="tx1"/>
            </w14:solidFill>
          </w14:textFill>
        </w:rPr>
      </w:pPr>
      <w:bookmarkStart w:id="114" w:name="_Toc17242"/>
      <w:r>
        <w:rPr>
          <w:rFonts w:hint="eastAsia" w:ascii="方正小标宋简体" w:hAnsi="仿宋" w:eastAsia="方正小标宋简体" w:cs="仿宋_GB2312"/>
          <w:color w:val="000000" w:themeColor="text1"/>
          <w14:textFill>
            <w14:solidFill>
              <w14:schemeClr w14:val="tx1"/>
            </w14:solidFill>
          </w14:textFill>
        </w:rPr>
        <w:t>第三章 服务需求</w:t>
      </w:r>
      <w:bookmarkEnd w:id="114"/>
    </w:p>
    <w:p>
      <w:pP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br w:type="page"/>
      </w:r>
    </w:p>
    <w:p>
      <w:pPr>
        <w:pStyle w:val="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辽宁省住建厅一体化服务平台整合服务需求（001包）</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一、功能需求如下：</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1.系统支撑软件购置</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采购人需提供能够满足本次招标方系统所需的数据库、中间件、GIS标准版专业桌面软件许可、GIS标准版平台软件许可等正版软件或相应授权。</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2.硬件购置及基础环境建设（CIM平台展示中心）</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bookmarkStart w:id="115" w:name="_Hlk133585066"/>
      <w:r>
        <w:rPr>
          <w:rFonts w:hint="eastAsia" w:ascii="仿宋_GB2312" w:hAnsi="仿宋_GB2312" w:eastAsia="仿宋_GB2312" w:cs="仿宋_GB2312"/>
          <w:color w:val="000000" w:themeColor="text1"/>
          <w:sz w:val="24"/>
          <w14:textFill>
            <w14:solidFill>
              <w14:schemeClr w14:val="tx1"/>
            </w14:solidFill>
          </w14:textFill>
        </w:rPr>
        <w:t>依据住建部对CIM基础平台的建设中数据可视化、共建共享、应用场景建设的要求，集中打造辽宁省CIM基础平台数据协同、综合</w:t>
      </w:r>
      <w:bookmarkEnd w:id="115"/>
      <w:r>
        <w:rPr>
          <w:rFonts w:hint="eastAsia" w:ascii="仿宋_GB2312" w:hAnsi="仿宋_GB2312" w:eastAsia="仿宋_GB2312" w:cs="仿宋_GB2312"/>
          <w:color w:val="000000" w:themeColor="text1"/>
          <w:sz w:val="24"/>
          <w14:textFill>
            <w14:solidFill>
              <w14:schemeClr w14:val="tx1"/>
            </w14:solidFill>
          </w14:textFill>
        </w:rPr>
        <w:t>信息汇聚、综合展示和智能应用场景辅助决策展示于一体的智能展示中心，主要建设内容包括大屏幕系统及相关配套工程。</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3.应用系统整合融合</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3.1一体化服务平台门户</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为各业务系统提供统一的业务集成及用户管理的平台，为非政务事项办理的业务提供统一的访问门户。平台门户需具备开放可集成的业务系统模块，可通过外部链接、业务系统功能重组等多种集成方式供门户使用者进行选择。</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功能包括：业务系统集成、身份鉴别管理、角色管理、权限管理、日志管理、统一风格管理等。</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3.2</w:t>
      </w:r>
      <w:bookmarkStart w:id="116" w:name="_Toc123748305"/>
      <w:r>
        <w:rPr>
          <w:rFonts w:hint="eastAsia" w:ascii="仿宋_GB2312" w:hAnsi="仿宋_GB2312" w:eastAsia="仿宋_GB2312" w:cs="仿宋_GB2312"/>
          <w:b/>
          <w:bCs/>
          <w:color w:val="000000" w:themeColor="text1"/>
          <w:sz w:val="24"/>
          <w14:textFill>
            <w14:solidFill>
              <w14:schemeClr w14:val="tx1"/>
            </w14:solidFill>
          </w14:textFill>
        </w:rPr>
        <w:t>辽宁省施工企业管理系统</w:t>
      </w:r>
      <w:bookmarkEnd w:id="116"/>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（1）上报数据管理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为了快速、便捷收集施工企业信息数据，通过建设数据上报管理功能，建立数据上报管理模块。数据上报管理需包含建筑企业管理、合同额管理、上年结转合同额管理、本年新签合同额管理、建筑产业总产值管理、装配式建筑工程产值管理、装饰装修产值管理、外省完成产值管理、建筑工程产值管理、安装工程产值管理、从事建筑业活动的平均人数管理、建筑业企业期末人数管理、工程技术人员管理、现场施工人员管理等数据的采集汇总。</w:t>
      </w:r>
      <w:r>
        <w:rPr>
          <w:rFonts w:hint="eastAsia" w:ascii="仿宋_GB2312" w:hAnsi="仿宋_GB2312" w:eastAsia="仿宋_GB2312" w:cs="仿宋_GB2312"/>
          <w:color w:val="000000" w:themeColor="text1"/>
          <w:sz w:val="24"/>
          <w14:textFill>
            <w14:solidFill>
              <w14:schemeClr w14:val="tx1"/>
            </w14:solidFill>
          </w14:textFill>
        </w:rPr>
        <w:tab/>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（2）数据汇总管理</w:t>
      </w:r>
      <w:r>
        <w:rPr>
          <w:rFonts w:hint="eastAsia" w:ascii="仿宋_GB2312" w:hAnsi="仿宋_GB2312" w:eastAsia="仿宋_GB2312" w:cs="仿宋_GB2312"/>
          <w:color w:val="000000" w:themeColor="text1"/>
          <w:sz w:val="24"/>
          <w14:textFill>
            <w14:solidFill>
              <w14:schemeClr w14:val="tx1"/>
            </w14:solidFill>
          </w14:textFill>
        </w:rPr>
        <w:tab/>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数据汇总管理需提供省、市两级数据汇总，按地市汇总、按时间汇总、按月份汇总等功能。</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3.3</w:t>
      </w:r>
      <w:bookmarkStart w:id="117" w:name="_Toc123748306"/>
      <w:r>
        <w:rPr>
          <w:rFonts w:hint="eastAsia" w:ascii="仿宋_GB2312" w:hAnsi="仿宋_GB2312" w:eastAsia="仿宋_GB2312" w:cs="仿宋_GB2312"/>
          <w:b/>
          <w:bCs/>
          <w:color w:val="000000" w:themeColor="text1"/>
          <w:sz w:val="24"/>
          <w14:textFill>
            <w14:solidFill>
              <w14:schemeClr w14:val="tx1"/>
            </w14:solidFill>
          </w14:textFill>
        </w:rPr>
        <w:t>辽宁省建筑市场质量安全监管公共服务系统</w:t>
      </w:r>
      <w:bookmarkEnd w:id="117"/>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（1）安全生产许可证申请管理</w:t>
      </w:r>
      <w:r>
        <w:rPr>
          <w:rFonts w:hint="eastAsia" w:ascii="仿宋_GB2312" w:hAnsi="仿宋_GB2312" w:eastAsia="仿宋_GB2312" w:cs="仿宋_GB2312"/>
          <w:color w:val="000000" w:themeColor="text1"/>
          <w:sz w:val="24"/>
          <w14:textFill>
            <w14:solidFill>
              <w14:schemeClr w14:val="tx1"/>
            </w14:solidFill>
          </w14:textFill>
        </w:rPr>
        <w:tab/>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为了规范辽宁省建筑市场安全生产许可证的申请管理规范，方便企业在不同阶段对安全生产许可证的申请述求，建立包括安全生产许可证新报申请、安全生产许可证延期申请、安全生产许可证变更申请、安全生产许可证注销申请等功能模块的开发。</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（2）安全生产许可证审批管理</w:t>
      </w:r>
      <w:r>
        <w:rPr>
          <w:rFonts w:hint="eastAsia" w:ascii="仿宋_GB2312" w:hAnsi="仿宋_GB2312" w:eastAsia="仿宋_GB2312" w:cs="仿宋_GB2312"/>
          <w:color w:val="000000" w:themeColor="text1"/>
          <w:sz w:val="24"/>
          <w14:textFill>
            <w14:solidFill>
              <w14:schemeClr w14:val="tx1"/>
            </w14:solidFill>
          </w14:textFill>
        </w:rPr>
        <w:tab/>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对应安全生产许可证申请管理模块中企业申报的申请，建立相应的安全生产许可证审批模块。具体包括：安全生产许可证新报审批、安全生产许可证延期审批、安全生产许可证变更审批、安全生产许可证注销审批等功能模块的开发。</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安全生产许可证的审批需包括省、市二级审批。</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（3）特种人员申请管理 </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为了协助企业快速对企业中符合特种人员资格的申报工作，建立包括特种人员首次申请、特种人员延期复核、特种人员换证申请等功能模块的开发。</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（4）特种人员审批管理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对应特种人员申请管理中企业申报的申请，建立相应的特种人员审批管理模块。具体包括：特种人员首次申请审批、特种人员延期复核审批、特种人员换证申请审批等功能模块的开发。</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（5）安管人员申请管理</w:t>
      </w:r>
      <w:r>
        <w:rPr>
          <w:rFonts w:hint="eastAsia" w:ascii="仿宋_GB2312" w:hAnsi="仿宋_GB2312" w:eastAsia="仿宋_GB2312" w:cs="仿宋_GB2312"/>
          <w:color w:val="000000" w:themeColor="text1"/>
          <w:sz w:val="24"/>
          <w14:textFill>
            <w14:solidFill>
              <w14:schemeClr w14:val="tx1"/>
            </w14:solidFill>
          </w14:textFill>
        </w:rPr>
        <w:tab/>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为了协助企业快速对企业中符合安管人员资格的申报工作，建立包括安管人员首次申请、安管人员变更申请、安管人员延期申请、安管人员注销申请、安管人员确认证件类型申请、申报综合类申请表等功能模块的开发。</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（6）安管人员审批管理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对应特种人员申请管理中企业申报的申请，建立相应的安管人员首次申请审批、安管人员变更申请审批、安管人员延期申请审批、安管人员注销申请审批、安管人员确认证件类型申请审批、申报综合类申请表审批等功能模块的开发。</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（7）安管人员考试信息发布管理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为了及时公布全省安管人员考试信息发布工作，系统需提供安管人员考试信息发布管理功能模块，安管人员考试信息发布管理模块需包括：考试安排、人员安排、考试信息的录入、修改、删除等功能。</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（8）安管人员数量标准管理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根据省级安管人员数量标准规范要求，建立全省统一的安管人员数量标准管理体系，可对安管人员数量标准进行维护。</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（9）项目经理数量标准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根据省级项目经理数量标准规范要求，建立全省统一的项目经理数量标准管理体系，可对项目经理数量标准进行维护。</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（10）查询统计</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提供安全生产许可证查询、特种人员查询、安管人员查询功能模块。可通过企业名称、姓名、时间等查询条件进行查询。</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3.4辽宁省执业管理系统</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（1）初始注册审批管理</w:t>
      </w:r>
      <w:r>
        <w:rPr>
          <w:rFonts w:hint="eastAsia" w:ascii="仿宋_GB2312" w:hAnsi="仿宋_GB2312" w:eastAsia="仿宋_GB2312" w:cs="仿宋_GB2312"/>
          <w:color w:val="000000" w:themeColor="text1"/>
          <w:sz w:val="24"/>
          <w14:textFill>
            <w14:solidFill>
              <w14:schemeClr w14:val="tx1"/>
            </w14:solidFill>
          </w14:textFill>
        </w:rPr>
        <w:tab/>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初始注册审批管理能够自动接收初始注册申请数据，并根据审批要求，自动过滤，对于符合审批要求的申请数据自动进入初始注册审批管理中，不符合审批要求的数据自动退回申请。审批数据在公示，公告后，可自动生成注册编号、专业有效期，并上传至辽宁省政务服务平台。初始注册审批管理包括：初始注册审核、初始注册审批、初始注册公示、初始注册公告、数据上传等功能。</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（2）变更注册审批管理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变更注册审批管理能够自动接收变更注册申请数据，并根据审批要求，自动过滤，对于符合审批要求的变更注册申请数据自动进入变更注册审批管理中，不符合审批要求的数据自动退回申请。审批通过数据需上传至辽宁省政务服务平台。变更注册审批管理包括：变更注册审核、变更注册审批、数据上传等功能。</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（3）增项注册审批管理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增项注册审批管理能够自动接收增项注册申请数据，并根据审批要求，自动过滤，对于符合审批要求的增项注册申请数据自动进入增项注册审批管理中，不符合审批要求的数据自动退回申请。审批数据在公示，公告后，可自动生成专业有效期，并上传至辽宁省政务服务平台。增项注册审批管理包括：增项注册审核、增项注册审批、增项注册公示、增项注册公告、数据上传等功能。</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（4）延续注册审批管理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延续注册审批管理能够自动接收延续注册申请数据，并根据审批要求，自动过滤，对于符合审批要求的延续注册申请数据自动进入延续注册审批管理中，不符合审批要求的数据自动退回申请。审批通过数据需自动生成专业有效期，并上传至辽宁省政务服务平台。延续注册审批管理包括：延续注册审核、延续注册审批、数据上传等功能。</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（5）注销注册审批管理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注销注册审批管理能够自动接收注销注册申请数据，并根据审批要求，自动过滤，对于符合审批要求的注销注册申请数据自动进入注销注册审批管理中，不符合审批要求的数据自动退回申请。审批通过数据需上传至辽宁省政务服务平台。注销注册审批管理包括：注销注册审核、注销注册审批、数据上传等功能。</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（6）重新注册审批管理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重新注册审批管理能够自动接收重新注册申请数据，并根据审批要求，自动过滤，对于符合审批要求的重新注册申请数据自动进入重新注册审批管理中，不符合审批要求的数据自动退回申请。审批数据在公示，公告后，可自动生成专业有效期，并上传至辽宁省政务服务平台。重新注册审批管理包括：重新注册审核、重新注册审批、重新注册公示、重新注册公告、数据上传等功能。</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（7）资格库管理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对全省已取得执业资格的人员进行统一管理，对于新取得执业资格的人员能够导入到资格库管理中。可查询、修改资格库，在修改资格库时，需提交修改信息申请，审批通过后，更新资格库信息。</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（8）注册库管理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对全省已注册人员信息进行统一管理，注册库的修改需提交修改信息申请，审批通过后，更新注册库信息；注册库信息删除需专人管理；可对注册库中的人员进行强制注销；注册库信息需定期上传住建部。</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（9）黑名单管理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对违规的注册人员可加入黑名单，加入黑名单的注册人员不可办理任何业务。黑明单的加入、解除需提交申请，审批通过后，方可加入或解除黑名单。</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（10）统计查询</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统计查询包含：已注册人员查询、已注销人员查询、初始注册人员查询、增项注册人员查询、变更注册人员查询、增项注册人员查询、延续注册人员查询、注销注册人员查询、重新注册人员查询、批次查询等功能。</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3.5辽宁省房地产管理系统</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（1）房地产企业资质申请管理 </w:t>
      </w:r>
      <w:r>
        <w:rPr>
          <w:rFonts w:hint="eastAsia" w:ascii="仿宋_GB2312" w:hAnsi="仿宋_GB2312" w:eastAsia="仿宋_GB2312" w:cs="仿宋_GB2312"/>
          <w:color w:val="000000" w:themeColor="text1"/>
          <w:sz w:val="24"/>
          <w14:textFill>
            <w14:solidFill>
              <w14:schemeClr w14:val="tx1"/>
            </w14:solidFill>
          </w14:textFill>
        </w:rPr>
        <w:tab/>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为辽宁省的房地产企业提供资质新设立申请、资质变更申请、资质换证申请、遗失补办申请、资质注销申请、重新核定申请等业务的申请入口，企业可根据实际情况进行相关业务申请，并填写相应的申请表。</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（2）房地产企业资质受理</w:t>
      </w:r>
      <w:r>
        <w:rPr>
          <w:rFonts w:hint="eastAsia" w:ascii="仿宋_GB2312" w:hAnsi="仿宋_GB2312" w:eastAsia="仿宋_GB2312" w:cs="仿宋_GB2312"/>
          <w:color w:val="000000" w:themeColor="text1"/>
          <w:sz w:val="24"/>
          <w14:textFill>
            <w14:solidFill>
              <w14:schemeClr w14:val="tx1"/>
            </w14:solidFill>
          </w14:textFill>
        </w:rPr>
        <w:tab/>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受理企业提交的新设立申请、资质变更申请、资质换证申请、遗失补办申请、资质注销申请、重新核定申请等业务，在核对申请信息后，符合审批条件的提交审批，不符合审批条件的退回至企业，企业根据受理意见可重新申请。</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（3）房地产企业资质审批</w:t>
      </w:r>
      <w:r>
        <w:rPr>
          <w:rFonts w:hint="eastAsia" w:ascii="仿宋_GB2312" w:hAnsi="仿宋_GB2312" w:eastAsia="仿宋_GB2312" w:cs="仿宋_GB2312"/>
          <w:color w:val="000000" w:themeColor="text1"/>
          <w:sz w:val="24"/>
          <w14:textFill>
            <w14:solidFill>
              <w14:schemeClr w14:val="tx1"/>
            </w14:solidFill>
          </w14:textFill>
        </w:rPr>
        <w:tab/>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对受理提交的新设立申请、资质变更申请、资质换证申请、遗失补办申请、资质注销申请、重新核定申请等业务进行审批，审批通过的根据相应的申请业务发放或修改资质证书，审批不通过的退回至企业，企业根据审批意见可重新申请。</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（4）房地产企业信息管理</w:t>
      </w:r>
      <w:r>
        <w:rPr>
          <w:rFonts w:hint="eastAsia" w:ascii="仿宋_GB2312" w:hAnsi="仿宋_GB2312" w:eastAsia="仿宋_GB2312" w:cs="仿宋_GB2312"/>
          <w:color w:val="000000" w:themeColor="text1"/>
          <w:sz w:val="24"/>
          <w14:textFill>
            <w14:solidFill>
              <w14:schemeClr w14:val="tx1"/>
            </w14:solidFill>
          </w14:textFill>
        </w:rPr>
        <w:tab/>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为企业提供可编辑的房地产企业信息管理功能。在此功能中，企业根据实际情况上传企业的基本信息、开发经营情况、企业负责人、企业人员、工程业绩及相应的电子材料（包括企业营业执照等）等信息，并且可随时更新。</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（5）房地产资质专家管理</w:t>
      </w:r>
      <w:r>
        <w:rPr>
          <w:rFonts w:hint="eastAsia" w:ascii="仿宋_GB2312" w:hAnsi="仿宋_GB2312" w:eastAsia="仿宋_GB2312" w:cs="仿宋_GB2312"/>
          <w:color w:val="000000" w:themeColor="text1"/>
          <w:sz w:val="24"/>
          <w14:textFill>
            <w14:solidFill>
              <w14:schemeClr w14:val="tx1"/>
            </w14:solidFill>
          </w14:textFill>
        </w:rPr>
        <w:tab/>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建设可编辑的房地产资质专家库，用于管理专家的基本信息。</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3.6辽宁省工程造价管理系统</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（1）工程价格模板管理</w:t>
      </w:r>
      <w:r>
        <w:rPr>
          <w:rFonts w:hint="eastAsia" w:ascii="仿宋_GB2312" w:hAnsi="仿宋_GB2312" w:eastAsia="仿宋_GB2312" w:cs="仿宋_GB2312"/>
          <w:color w:val="000000" w:themeColor="text1"/>
          <w:sz w:val="24"/>
          <w14:textFill>
            <w14:solidFill>
              <w14:schemeClr w14:val="tx1"/>
            </w14:solidFill>
          </w14:textFill>
        </w:rPr>
        <w:tab/>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工程价格模板管理包括大宗材料模板、周转材料模板、机械租赁材料模板。各模板需提供新增、修改、启用、停用、下载功能。</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（2）工程价格税率管理</w:t>
      </w:r>
      <w:r>
        <w:rPr>
          <w:rFonts w:hint="eastAsia" w:ascii="仿宋_GB2312" w:hAnsi="仿宋_GB2312" w:eastAsia="仿宋_GB2312" w:cs="仿宋_GB2312"/>
          <w:color w:val="000000" w:themeColor="text1"/>
          <w:sz w:val="24"/>
          <w14:textFill>
            <w14:solidFill>
              <w14:schemeClr w14:val="tx1"/>
            </w14:solidFill>
          </w14:textFill>
        </w:rPr>
        <w:tab/>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建设完整的工程价格税率管理体系，包括大宗材料价格税率、周转材料价格税率、机械租赁材料税率。</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（3）工程价格上报管理</w:t>
      </w:r>
      <w:r>
        <w:rPr>
          <w:rFonts w:hint="eastAsia" w:ascii="仿宋_GB2312" w:hAnsi="仿宋_GB2312" w:eastAsia="仿宋_GB2312" w:cs="仿宋_GB2312"/>
          <w:color w:val="000000" w:themeColor="text1"/>
          <w:sz w:val="24"/>
          <w14:textFill>
            <w14:solidFill>
              <w14:schemeClr w14:val="tx1"/>
            </w14:solidFill>
          </w14:textFill>
        </w:rPr>
        <w:tab/>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工程价格上报管理包括大宗材料价格上报、周转材料价格上报、机械租赁材料价格上报。上报数据前需下载相应模板并填写，通过导入的方式导入各类价格数据。数据导入后上报省级。</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（4）工程价格核对管理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对大宗材料价格、周转材料价格、机械租赁材料价格上报的数据进行核对，在此功能中，只需显示与上期数据差异较大的指标数据，包括上浮、下浮数据，并通过不同的颜色进行标识。在对比的同时还需对上报的价格数据进行汇总。具体功能包括：大宗材料价格浮动变化、周转材料价格浮动变化、机械租赁材料价格浮动变化、大宗材料价格汇总、周转材料价格汇总、机械租赁材料价格汇总。</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（5）造价指数发布管理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提供内容发布管理系统，用于发布</w:t>
      </w:r>
      <w:r>
        <w:fldChar w:fldCharType="begin"/>
      </w:r>
      <w:r>
        <w:instrText xml:space="preserve"> HYPERLINK "http://218.60.144.156/lnzjall.asp?typeid=21" \t "_blank" </w:instrText>
      </w:r>
      <w:r>
        <w:fldChar w:fldCharType="separate"/>
      </w:r>
      <w:r>
        <w:rPr>
          <w:rFonts w:hint="eastAsia" w:ascii="仿宋_GB2312" w:hAnsi="仿宋_GB2312" w:eastAsia="仿宋_GB2312" w:cs="仿宋_GB2312"/>
          <w:color w:val="000000" w:themeColor="text1"/>
          <w:sz w:val="24"/>
          <w14:textFill>
            <w14:solidFill>
              <w14:schemeClr w14:val="tx1"/>
            </w14:solidFill>
          </w14:textFill>
        </w:rPr>
        <w:t>建筑工程材料价格综合指数</w:t>
      </w:r>
      <w:r>
        <w:rPr>
          <w:rFonts w:hint="eastAsia" w:ascii="仿宋_GB2312" w:hAnsi="仿宋_GB2312" w:eastAsia="仿宋_GB2312" w:cs="仿宋_GB2312"/>
          <w:color w:val="000000" w:themeColor="text1"/>
          <w:sz w:val="24"/>
          <w14:textFill>
            <w14:solidFill>
              <w14:schemeClr w14:val="tx1"/>
            </w14:solidFill>
          </w14:textFill>
        </w:rPr>
        <w:fldChar w:fldCharType="end"/>
      </w:r>
      <w:r>
        <w:rPr>
          <w:rFonts w:hint="eastAsia" w:ascii="仿宋_GB2312" w:hAnsi="仿宋_GB2312" w:eastAsia="仿宋_GB2312" w:cs="仿宋_GB2312"/>
          <w:color w:val="000000" w:themeColor="text1"/>
          <w:sz w:val="24"/>
          <w14:textFill>
            <w14:solidFill>
              <w14:schemeClr w14:val="tx1"/>
            </w14:solidFill>
          </w14:textFill>
        </w:rPr>
        <w:t>、</w:t>
      </w:r>
      <w:r>
        <w:fldChar w:fldCharType="begin"/>
      </w:r>
      <w:r>
        <w:instrText xml:space="preserve"> HYPERLINK "http://218.60.144.156/lnzjall.asp?typeid=38" \t "_blank" </w:instrText>
      </w:r>
      <w:r>
        <w:fldChar w:fldCharType="separate"/>
      </w:r>
      <w:r>
        <w:rPr>
          <w:rFonts w:hint="eastAsia" w:ascii="仿宋_GB2312" w:hAnsi="仿宋_GB2312" w:eastAsia="仿宋_GB2312" w:cs="仿宋_GB2312"/>
          <w:color w:val="000000" w:themeColor="text1"/>
          <w:sz w:val="24"/>
          <w14:textFill>
            <w14:solidFill>
              <w14:schemeClr w14:val="tx1"/>
            </w14:solidFill>
          </w14:textFill>
        </w:rPr>
        <w:t>市政道路工程材料价格综合指数</w:t>
      </w:r>
      <w:r>
        <w:rPr>
          <w:rFonts w:hint="eastAsia" w:ascii="仿宋_GB2312" w:hAnsi="仿宋_GB2312" w:eastAsia="仿宋_GB2312" w:cs="仿宋_GB2312"/>
          <w:color w:val="000000" w:themeColor="text1"/>
          <w:sz w:val="24"/>
          <w14:textFill>
            <w14:solidFill>
              <w14:schemeClr w14:val="tx1"/>
            </w14:solidFill>
          </w14:textFill>
        </w:rPr>
        <w:fldChar w:fldCharType="end"/>
      </w:r>
      <w:r>
        <w:rPr>
          <w:rFonts w:hint="eastAsia" w:ascii="仿宋_GB2312" w:hAnsi="仿宋_GB2312" w:eastAsia="仿宋_GB2312" w:cs="仿宋_GB2312"/>
          <w:color w:val="000000" w:themeColor="text1"/>
          <w:sz w:val="24"/>
          <w14:textFill>
            <w14:solidFill>
              <w14:schemeClr w14:val="tx1"/>
            </w14:solidFill>
          </w14:textFill>
        </w:rPr>
        <w:t>、</w:t>
      </w:r>
      <w:r>
        <w:fldChar w:fldCharType="begin"/>
      </w:r>
      <w:r>
        <w:instrText xml:space="preserve"> HYPERLINK "http://218.60.144.156/lnzjall.asp?typeid=39" \t "_blank" </w:instrText>
      </w:r>
      <w:r>
        <w:fldChar w:fldCharType="separate"/>
      </w:r>
      <w:r>
        <w:rPr>
          <w:rFonts w:hint="eastAsia" w:ascii="仿宋_GB2312" w:hAnsi="仿宋_GB2312" w:eastAsia="仿宋_GB2312" w:cs="仿宋_GB2312"/>
          <w:color w:val="000000" w:themeColor="text1"/>
          <w:sz w:val="24"/>
          <w14:textFill>
            <w14:solidFill>
              <w14:schemeClr w14:val="tx1"/>
            </w14:solidFill>
          </w14:textFill>
        </w:rPr>
        <w:t>建设工程人工费指数</w:t>
      </w:r>
      <w:r>
        <w:rPr>
          <w:rFonts w:hint="eastAsia" w:ascii="仿宋_GB2312" w:hAnsi="仿宋_GB2312" w:eastAsia="仿宋_GB2312" w:cs="仿宋_GB2312"/>
          <w:color w:val="000000" w:themeColor="text1"/>
          <w:sz w:val="24"/>
          <w14:textFill>
            <w14:solidFill>
              <w14:schemeClr w14:val="tx1"/>
            </w14:solidFill>
          </w14:textFill>
        </w:rPr>
        <w:fldChar w:fldCharType="end"/>
      </w:r>
      <w:r>
        <w:rPr>
          <w:rFonts w:hint="eastAsia" w:ascii="仿宋_GB2312" w:hAnsi="仿宋_GB2312" w:eastAsia="仿宋_GB2312" w:cs="仿宋_GB2312"/>
          <w:color w:val="000000" w:themeColor="text1"/>
          <w:sz w:val="24"/>
          <w14:textFill>
            <w14:solidFill>
              <w14:schemeClr w14:val="tx1"/>
            </w14:solidFill>
          </w14:textFill>
        </w:rPr>
        <w:t>。</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3.</w:t>
      </w:r>
      <w:r>
        <w:rPr>
          <w:rFonts w:ascii="仿宋_GB2312" w:hAnsi="仿宋_GB2312" w:eastAsia="仿宋_GB2312" w:cs="仿宋_GB2312"/>
          <w:b/>
          <w:bCs/>
          <w:color w:val="000000" w:themeColor="text1"/>
          <w:sz w:val="24"/>
          <w14:textFill>
            <w14:solidFill>
              <w14:schemeClr w14:val="tx1"/>
            </w14:solidFill>
          </w14:textFill>
        </w:rPr>
        <w:t>7</w:t>
      </w:r>
      <w:r>
        <w:rPr>
          <w:rFonts w:hint="eastAsia" w:ascii="仿宋_GB2312" w:hAnsi="仿宋_GB2312" w:eastAsia="仿宋_GB2312" w:cs="仿宋_GB2312"/>
          <w:b/>
          <w:bCs/>
          <w:color w:val="000000" w:themeColor="text1"/>
          <w:sz w:val="24"/>
          <w14:textFill>
            <w14:solidFill>
              <w14:schemeClr w14:val="tx1"/>
            </w14:solidFill>
          </w14:textFill>
        </w:rPr>
        <w:t>系统运维</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（1）项目经理</w:t>
      </w:r>
      <w:r>
        <w:rPr>
          <w:rFonts w:hint="eastAsia" w:ascii="仿宋_GB2312" w:hAnsi="仿宋_GB2312" w:eastAsia="仿宋_GB2312" w:cs="仿宋_GB2312"/>
          <w:color w:val="000000" w:themeColor="text1"/>
          <w:sz w:val="24"/>
          <w14:textFill>
            <w14:solidFill>
              <w14:schemeClr w14:val="tx1"/>
            </w14:solidFill>
          </w14:textFill>
        </w:rPr>
        <w:tab/>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投标人应针对项目提供项目经理</w:t>
      </w:r>
      <w:r>
        <w:rPr>
          <w:rFonts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人。负责整体项目管理，包括系统整体架构设计、系统信息安全、系统基础运维、日常沟通及其他工作。</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人员要求：应具备3年以上的相关工作经验，具有整体项目管理思维，具备系统架构设计能力，对系统信息安全管理有深入理解。有良好的沟通能力，能够满足系统运维日常工作要求。</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（2）项目组成员</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投标人应针对项目提供项目组成员若干</w:t>
      </w:r>
      <w:r>
        <w:rPr>
          <w:rFonts w:ascii="仿宋_GB2312" w:hAnsi="仿宋_GB2312" w:eastAsia="仿宋_GB2312" w:cs="仿宋_GB2312"/>
          <w:color w:val="000000" w:themeColor="text1"/>
          <w:sz w:val="24"/>
          <w14:textFill>
            <w14:solidFill>
              <w14:schemeClr w14:val="tx1"/>
            </w14:solidFill>
          </w14:textFill>
        </w:rPr>
        <w:t>人。负责</w:t>
      </w:r>
      <w:r>
        <w:rPr>
          <w:rFonts w:hint="eastAsia" w:ascii="仿宋_GB2312" w:hAnsi="仿宋_GB2312" w:eastAsia="仿宋_GB2312" w:cs="仿宋_GB2312"/>
          <w:color w:val="000000" w:themeColor="text1"/>
          <w:sz w:val="24"/>
          <w14:textFill>
            <w14:solidFill>
              <w14:schemeClr w14:val="tx1"/>
            </w14:solidFill>
          </w14:textFill>
        </w:rPr>
        <w:t>项目日常开发及维护工作。工作内容包括日常软件系统开发、数据库搭建、前端页面设计等。同时负责系统运维工作，包括日常运维和安全运维等部分。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人员要求：应具备</w:t>
      </w:r>
      <w:r>
        <w:rPr>
          <w:rFonts w:ascii="仿宋_GB2312" w:hAnsi="仿宋_GB2312" w:eastAsia="仿宋_GB2312" w:cs="仿宋_GB2312"/>
          <w:color w:val="000000" w:themeColor="text1"/>
          <w:sz w:val="24"/>
          <w14:textFill>
            <w14:solidFill>
              <w14:schemeClr w14:val="tx1"/>
            </w14:solidFill>
          </w14:textFill>
        </w:rPr>
        <w:t>1年以上的</w:t>
      </w:r>
      <w:r>
        <w:rPr>
          <w:rFonts w:hint="eastAsia" w:ascii="仿宋_GB2312" w:hAnsi="仿宋_GB2312" w:eastAsia="仿宋_GB2312" w:cs="仿宋_GB2312"/>
          <w:color w:val="000000" w:themeColor="text1"/>
          <w:sz w:val="24"/>
          <w14:textFill>
            <w14:solidFill>
              <w14:schemeClr w14:val="tx1"/>
            </w14:solidFill>
          </w14:textFill>
        </w:rPr>
        <w:t>相关工作经验，能够完成前端页面设计开发、后端数据库搭建调试等工作。同时了解运维工作，具备信息安全方面相关证书，具备信息安全相关工作从业资格。</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4.住建统一应用支持平台</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（1）统一用户系统</w:t>
      </w:r>
      <w:r>
        <w:rPr>
          <w:rFonts w:hint="eastAsia" w:ascii="仿宋_GB2312" w:hAnsi="仿宋_GB2312" w:eastAsia="仿宋_GB2312" w:cs="仿宋_GB2312"/>
          <w:color w:val="000000" w:themeColor="text1"/>
          <w:sz w:val="24"/>
          <w14:textFill>
            <w14:solidFill>
              <w14:schemeClr w14:val="tx1"/>
            </w14:solidFill>
          </w14:textFill>
        </w:rPr>
        <w:tab/>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建立统一用户管理系统，在此系统中存储所有应用系统的用户信息，包括组织机构、人员账号、人员基本信息、职务、职称、职位、权限、角色等。</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（2）单点登录系统</w:t>
      </w:r>
      <w:r>
        <w:rPr>
          <w:rFonts w:hint="eastAsia" w:ascii="仿宋_GB2312" w:hAnsi="仿宋_GB2312" w:eastAsia="仿宋_GB2312" w:cs="仿宋_GB2312"/>
          <w:color w:val="000000" w:themeColor="text1"/>
          <w:sz w:val="24"/>
          <w14:textFill>
            <w14:solidFill>
              <w14:schemeClr w14:val="tx1"/>
            </w14:solidFill>
          </w14:textFill>
        </w:rPr>
        <w:tab/>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平台用户本次登录后即可进入所有系统，不需在进入另一个系统后的二次登录。</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（3）工作流引擎</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要求提供成熟的应用开发平台以及工作流引擎组件，帮助客户建立完整流程管理体系和规范，满足不同客户的流程应用需要，满足客户中持续的流程优化、再造需求，帮助客户搭建一个高效、灵活的工作流程管理平台。完全基于用户需求，具有较强的灵活定义功能，可自定义流程、表单，根据不同运作模式，可由具有相应权限的人员对流程进行维护和订制；通过流程提醒、流程督办，提升流程执行效率及执行过程的有效管控。</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（4）内容管理系统</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要求提供完善的内容管理系统，用于网站的规范化管理。内容管理系统需具备信息录入、编辑、审核、校正、稽查和发布等内容全流程管理、站点管理、系统管理等全面的管理功能。内容管理系统需包括：站点管理、模板管理、栏目管理、文章管理、信息采集等功能模块。</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（5）底层开发平台</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需提供可快速开发基于流程或非流程类的底层开发平台，底层开发平台需包括可视化的数据表管理工具、灵活的工作流引擎、可视化表单设计、集成多种公共组件、统一的身份认证管理。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w:t>
      </w:r>
      <w:bookmarkStart w:id="118" w:name="_Toc123748320"/>
      <w:r>
        <w:rPr>
          <w:rFonts w:hint="eastAsia" w:ascii="仿宋_GB2312" w:hAnsi="仿宋_GB2312" w:eastAsia="仿宋_GB2312" w:cs="仿宋_GB2312"/>
          <w:color w:val="000000" w:themeColor="text1"/>
          <w:sz w:val="24"/>
          <w14:textFill>
            <w14:solidFill>
              <w14:schemeClr w14:val="tx1"/>
            </w14:solidFill>
          </w14:textFill>
        </w:rPr>
        <w:t>BI数据分析平台</w:t>
      </w:r>
      <w:bookmarkEnd w:id="118"/>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需提供具有数据采集、自定义查询、自定义统计报表、自定义分析模型、可视化数据展示、仪表盘展示、自定义工作台、多种统计图的BI数据分析平台。</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5.住建一体化数据中台建设</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住建数据中台用于支撑数据基础需求，以及满足厅内各业务系统及下属机构业务场景需求，规划设计通过一体化住建数据中台，实现数据全流程管理的需求。</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5.1住建数据中台</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5.1.1数据集成平台</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需提供数据集成平台，按照统一的标准和规范，整合各部门分散的、异构的、跨网络的数据资源，并进行相应的目录源管理采集作业管理能力，主要功能涵盖目录源管理，节点管理，采集汇聚作业管理等。</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其中通过目录源管理方式，支持对各类数据源进行统一配置管理，将平台流转数据统一编目化、可视化管理，平台需支持多种类型的数据源，包含多种数据库数据源，FTP文件系统，接口和流式数据源。并可支持对数据源变更进行分析和预警。</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采集汇聚模块需实现政府数据跨层级、跨地域、跨部门、跨系统、跨业务的信息资源采集和汇聚。交换作业支持结构化、半结构化、非结构化、接口等类型；交换数据源支持一对一和一对多；作业类型支持批量及实时，交换类型包括结构化、半结构化、非结构化及接口。采集汇聚作业支持全量采集、增量采集、动态表功能；作业配置提供易用的可视化配置，数据字段支持自动配对。支持自定义采集汇聚过程中交换安全策略，包括策略的规则实例，使用的算法名称，描述，以及相应的加解密算法的公钥私钥设置、详细参数设置。</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5.1.2数据融合平台</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需提供数据融合平台，对于统一编目化的数据资源，实现目录清洗、数据转换、数据加工等功能，并可通过可视图形化界面的拖拉拽进行流程及参数配置。需要支持对清洗作业的配置及增删改查，包括清洗作业分组、新增作业、作业编辑、克隆作业、搜索作业、流程编辑、流程查看、取消/发布作业等能力，并可对目录清洗转换执行过程及结果记录日志，便于发现执行异常情况。</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同时，需要具备统一的任务调度中心能力，实现采集、加工的调度统一配置，集中管理；调度支持一次交换、周期交换、事件交换、消息交换；支持路由策略、阻塞处理策略配置；支持超时设置、重试次数、邮件报警等功能。并支持对调度的执行情况和结果进行跟踪展示；对任务执行的效率，耗时和成功与否进行统计和分析；并支持对采集任务的采集数据量进行对账等。</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5.1.3数据治理平台</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需提供数据治理平台，一是通过数据质量管理覆盖整个数据生命周期的数据质量检测与监控，从数据的初始建设、采集、存储、系统集成和归档等环节进行数据质量稽核，定期生成数据质量报告，支持对质量报告中的问题进行展示和问题工单管理，形成数据质量闭环。二是支持通过配置采集任务的方式对技术元数据、管理元数据、业务元数据进行采集和解析，支持关系型和非关系型数据库的元数据采集，并提供血缘分析和影响分析等元数据分析能力。三是支持包括数据源和手动填报在内的指标数据采集，支持基础指标、衍生指标的业务信息管理、计算逻辑设定，系统根据计算逻辑配置自动完成指标汇总计算；支持通过指标市场进行指标上/下架、按需进行使用申请等指标生命周期的管理。四是能按照数据治理相关标准规范，通过数据标准工具生成统一标准、将标准进行落地映射、定期对标准更新维护，保障数据内外部使用和交换的一致性和准确性的规范约束。</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5.1.4数据开发平台</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需提供数据开发平台，一方面可支持外界面化、图形化、智能高效的数据开发、测试体验。满足数据加工开发、任务调度测试等需求。以在线数据脚本开发、测试及发布为核心，支持多人协同开发、在线调试、版本管理以及脚本的调度等环节，从而形成数据开发的内部链路，从而降低数据开发对人员的技术要求，提升数据加工效率。另一方面可提供工作流全生命周期管理工具，为工作流运行环境切换同步、可视化操作任务、定时任务调度管理、工作流和全生命周期数据处理过程提供完整的解决方案。</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5.1.5资产管理平台</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需提供资产管理平台，并可实现支持对数据资源的新增、资源挂载、上线、下线、审核等生命周期的控制，并对数据资源进行分类、标签管理等；系统支持对数据库表、文件、接口类型的资源管理。对已上线的信息资源目录进行上链存证，实现目录的防篡改可追溯。当前登录用户可查看所有已发布上线的信息资源，可管理本部门以及下级部门创建的信息资源。主要功能应包括：目录概览、标签管理、资源管理、目录标准管理、可信目录存证等。</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5.1.6数据交换平台</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需提供数据交换平台，可支撑进行目录服务接口集中专业化管理的平台，实现数据输出透明化管控，能实现对第三方接口统一管理。应涵盖服务超市、实时服务、服务管理、接口提供方管理、统计报表、服务日志、应用系统管理、接口开发等核心模块。调度支持一次交换、周期交换、事件交换、消息交换；支持路由策略、阻塞处理策略配置；支持超时设置、重试次数、邮件报警等功能。</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5.1.7数据开放平台</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需提供数据开放平台，主要能实现将能共享交换的数据资源、目录服务进行统一展示及统计分析，可以支持数据用户在数据开放平台进行注册及申请需要的数据资源或目录服务，并可通过数据开放平台进行互动交流。主要功能应包括首页、数据资源、目录服务、数据全景、互动交流等模块。</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5.1.8数据安全与运维平台</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需提供数据安全与运维平台，可支持对平台各模块的用户、角色、项目、工单管理等配置进行集中统一管理，同时需提供包括租户管理、日志、统一登录鉴权在内的平台基础功能，通过这类公共操作及服务快捷、方便的支持与各模块的拼装组合，适配不同需求场景。</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5.1.9数据治理服务</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需提供数据治理服务，搭建住建业务库（基础库建设、省建筑市场公共服务系统专题库）、房屋建设基础库、省建筑市场公共服务专题库、城市信息模型信息资源、城市运行管理服务信息资源库，结合汇聚数据进行库表、字段等规划整理，建立统一标准，对僵尸数据等进行标注等工作。</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5.1.10数据模型</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bookmarkStart w:id="119" w:name="_Hlk133583960"/>
      <w:r>
        <w:rPr>
          <w:rFonts w:hint="eastAsia" w:ascii="仿宋_GB2312" w:hAnsi="仿宋_GB2312" w:eastAsia="仿宋_GB2312" w:cs="仿宋_GB2312"/>
          <w:color w:val="000000" w:themeColor="text1"/>
          <w:sz w:val="24"/>
          <w14:textFill>
            <w14:solidFill>
              <w14:schemeClr w14:val="tx1"/>
            </w14:solidFill>
          </w14:textFill>
        </w:rPr>
        <w:t>需提供数据模型管理，数据模型创建与管理为数据治理的首要工作，是后续进行数据采集、元数据管理、数据处理、数据共享开放的基础。组织内部数据架构是将内部业务实体抽象为信息对象，将业务运作模式抽象为信息对象的属性和方法，建立面向对象的数据模型，实现从业务模式向数据模型的转变，业务需求向信息功能的映射，基础数据向信息的抽象。需要通过数据模型管理关联核心业务与底层数据</w:t>
      </w:r>
      <w:bookmarkEnd w:id="119"/>
      <w:r>
        <w:rPr>
          <w:rFonts w:hint="eastAsia" w:ascii="仿宋_GB2312" w:hAnsi="仿宋_GB2312" w:eastAsia="仿宋_GB2312" w:cs="仿宋_GB2312"/>
          <w:color w:val="000000" w:themeColor="text1"/>
          <w:sz w:val="24"/>
          <w14:textFill>
            <w14:solidFill>
              <w14:schemeClr w14:val="tx1"/>
            </w14:solidFill>
          </w14:textFill>
        </w:rPr>
        <w:t>架构，通过数据模型统一规划及构建实现组织内部信息的自动化流动。主要包含以下能力：</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（1）模型设计能力：通过建立概念数据模型、逻辑数据模型等方式在数据模型建立初始阶段有效组织来源多样的各种业务数据，并用统一的逻辑语言描述业务。并支持基于已建逻辑模型物化形成物理模型；</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（2）模型管理能力：系统对已建立的物理模型进行标准化、规范化的统一管理，通过模型版本管理、核心流程管理等功能确保模型全生命周期过程中的有序、安全；</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（3）数据库管理能力：库管理支持对模型落地的库进行管理，支持新建、删除、编辑和赋权的管理。</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5.2住建业务库</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5.2.1房屋建设基础库</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5.2.2基础数据库升级改造</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升级改造主要是对企业、人员、项目、诚信信息数据库的升级改造，具体介绍如下：</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企业库升级改造。包括取得资质的勘察、设计、施工、监理、施工图审查、质量检测等各类企业，记录企业基本情况信息、管理人员信息、资质信息、业绩信息、从业人员信息、技术装备及信用等信息。业绩信息和项目库相关联，管理人员、从业人员信息和人员库相关联，信用信息与信用库关联。</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人员库升级改造。包括勘察设计注册工程师、注册建筑师、注册建造师、注册安全工程师、注册监理工程师、注册造价工程师等各类注册执业人员、有职称工程技术人员、取得岗位证书的管理人员及技术工人等。以执业资格注册、岗位证书发放为主线，实现网上申报、审批入库管理。记录人员基本情况信息、业绩信息、执业注册信息、专业岗位资格信息、继续教育信息及信用信息。个人基本情况信息与企业库关联，业绩信息与项目库关联，信用信息与信用库关联。</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项目库升级改造。以施工许可为核心建立总承包项目信息业绩库。同时拓展专业分包业绩，增加施工总包对应的分包业绩，同时扩展除建筑、市政业绩外的全行业业绩数据。另外扩展业绩指标，满足资质审批、招投标业绩的应用。具体包括各类工程项目名称、类型、规模、造价等信息，参与工程项目建设的建设、勘察、设计、施工、监理等单位及其项目负责人、注册执业人员、关键岗位人员等信息，工程项目招投标、施工图审查、质量监督、安全监督、安全生产验收备案、施工许可、竣工验收备案等环节的监管信息。</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诚信信息库升级改造。包括企业诚信信息、注册人员诚信信息等，按照“谁许可、谁记录，谁表彰、谁记录，谁处罚、谁记录”的原则，将企业的基本信息、良好行为、不良行为记入信用信息，通过发布平台公布企业信用信息。诚信信息库应与企业、人员信用信息关联，并与现场质量安全监管关联。</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5.2.3工程项目管理模块审批端开发</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管理端升级改造主要包括工程项目管理端和历史项目补录管理端功能调整，具体功能介绍如下： </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项目基本信息审批信息接收与展示</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根据辽宁省工程建设项目审批管理系统对接接口接收到的数据，结合新数据标准，在管理端提供查询页面。</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招投标信息审批信息接收与展示</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根据省建设工程招投标管理系统对接接口接收到的数据，结合新数据标准，在管理端提供查询页面。</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质量监督审批信息接收与展示</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根据辽宁省工程建设项目审批管理系统对接接口接收到的数据，结合新数据标准，在管理端提供查询页面。</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安全监督审批信息接收与展示</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根据辽宁省工程建设项目审批管理系统对接接口接收到的数据，结合新数据标准，在管理端提供查询页面。</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安全生产验收备案审批信息接收与展示</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根据辽宁省工程建设项目审批管理系统对接接口接收到的数据，结合新数据标准，在管理端提供查询页面。</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施工许可审批信息接收与审批</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申报主体在项目的所属工改系统申报施工许可申请业务，业务通过接口实时传送至省工改接口，再由接口转接至省施工许可管理系统进行审核，审核过程及结果通过原渠道回传至各地市工改系统，主要功能包含如下：</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（1）主管部门受理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行业管理部门对项目单位上报的施工许可新办、变更、补办、停工、复工、延期等申请进行受理，注明受理意见。</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（2）主管部门审批</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行业管理部门对项目单位上报的施工许可新办、变更、补办、停工、复工、延期申请等申请进行审批，注明审批意见。</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（3）电子证书管理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施工许可审批通过后，以电子证书的形式供企业打印，同时数据会推送至省证照数据库，多平台信息共享，通过扫描二维码方式查阅施工许可企业相关信息，构建以证书信息为载体、电子方式查阅为手段、高效率低成本管理为目标的电子证书体系，全面实现企业“零跑腿”。</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（4）审批查询</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该模块主要用于行业管理部门对项目单位上报的施工许可新办、变更、补办、停工、复工、延期申请等申请审批过程中及审批完成后有关进展情况查询了解。</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竣工验收审批信息接收与展示</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竣工验收信息备案采集功能本次依据新标准进行相应信息的调整，“竣工备案编号”调整为“竣工验收备案编号”；新增工程名称、项目代码、长度、跨度、信息审核部门、信息审核人、数据来源等信息字段。</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数据来源：辽宁省工程建设项目审批管理系统对接接口。</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5.2.4辽宁省建筑市场监管公共服务平台网站开发</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发布平台升级改造主要是针对现有省级建筑市场监管公共服务平台进行调整，主要依据住建部新的标准对企业、人员、工程项目信息展示内容进行调整。主要包括展示字段、展示界面的调整。另外，对发布平台整体页面布局、风格等进行优化。</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5.2.4.1首页</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针对文件通知、公示公告、企业信息展示、人员信息展示、工程项目信息展示、诚信信息栏目，依据最新数据标准进行改造。</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5.2.4.2企业信息</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企业界面主要调整一些主要字段，如删除“组织机构代码” ，仅保留“统一社会信用代码”等，整体界面包括二级界面、详情页面展示需要重新布局调整。</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5.2.4.3人员信息</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人员界面主要调整查询条件和一些字段，如将造价师分为一级造价师、二级造价师等，整体界面包括二级界面、详情页面展示需要重新布局调整。</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5.2.4.4工程项目信息</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工程项目整体变动较大，主要是增加字段内容较多，主要体现在项目各环节的列表页与详情页的展示中，同时项目编码规则的调整，也会让整个数据库中的项目编号产生变化。</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5.2.4.5诚信信息</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针对该栏目的列表页、查询条件、详情页进行改造，从而更完整、全面的展示企业诚信信息。</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5.2.4.6文件通知</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针对该栏目的列表页、查询条件、详情页进行改造，从而更完整、全面的展示文件通知类信息。</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5.2.4.7网站后台管理</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随着各模块的改造，网站后台管理端已经无法满足新的管理目标，需要对添加页、详情页等尽心改造，从而更完整、全面的展示信息。</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5.2.5数据交换系统开发</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数据交换系统升级改造主要是对数据接口的调整，由于对接主体不同，数据对接模式有所不同，主要包括以下对接：</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5.2.5.1与沈阳市建设工程智慧监管与诚信管理平台对接接口</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与沈阳市建筑市场监管平台对接接口升级改造，主要是依据住建部新的标准完善相应的标准接口，接口内容包含：企业资质信息、人员从业资格证书信息、工程项目信息，保证数据的准确性与及时性。</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5.2.5.2与住建部三类人员管理系统对接</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省公共服务平台通过接口与住建部三类人员管理系统获取省外从业人员资格证书信息，保证数据的准确性与及时性。</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5.2.5.3与住建部安全生产许可证管理系统对接</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省公共服务平台通过接口与住建部安全生产许可证管理系统获取省外施工企业安全生产许可证信息，保证数据的准确性与及时性。</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5.2.5.4与辽宁省建设工程招标投标网上运行平台对接接口开发</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省公共服务平台通过接口每日自动采集辽宁省建设工程招标投标网上运行平台中的招投标信息，保证数据的准确性与及时性。</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5.2.5.5与大连市工程项目联合审批平台对接接口开发</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省公共服务平台通过接口每日自动采集大连市工程项目联合审批平台中的工程项目信息，保证数据的准确性与及时性。</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5.2.5.6与辽宁省电子证照共享平台系统对接接口开发</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省公共服务平台通过接口与辽宁省电子证照共享平台系统共享施工许可证信息和证照文件，保证数据的准确性与及时性。</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5.2.5.7与辽宁省工程建设项目审批管理系统对接接口</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与省工改系统的对接接口进行升级改造，主要是依据住建部新的标准完善相应的标准接口，保证数据的准确性与及时性。</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5.2.5.8与全国建筑市场监管公共服务平台的入辽企业资质对接接口</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省公共服务平台业绩补录系统，外省企业补录业绩申报时核验省外企业是否有资质。</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5.2.5.9与全国建筑市场监管公共服务平台的企业资质信息对接接口</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省公共服务平台通过接口每日自动采集辽宁省本省企业资质证书信息，保证数据的准确性与及时性。</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5.2.5.10与全国建筑市场监管公共服务平台的人员从业资格信息对接接口</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省公共服务平台通过接口每日自动采集辽宁省本省企业所属注册人员从业资格证书信息，保证数据的准确性与及时性。</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5.2.5.11与全国建筑市场监管公共服务平台的工程项目信息对接接口</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省公共服务平台依据最新的数据对接标准建立省级接口，通过接口每日自动收集各地市工程项目信息，并推送至住建部工程项目信息收集接口，保证数据的准确性与及时性。</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5.2.5.12与全国建筑市场监管公共服务平台的施工许可证电子证照对接接口</w:t>
      </w:r>
    </w:p>
    <w:p>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省公共服务平台依据最新的施工许可电子证照对接标准建立省级接口，通过接口每日自动收集各地市施工许可电子证照信息，并推送至住建部施工许可电子证照系统，保证数据的准确性与及时性。</w:t>
      </w:r>
    </w:p>
    <w:p>
      <w:pPr>
        <w:snapToGrid w:val="0"/>
        <w:spacing w:line="360" w:lineRule="auto"/>
        <w:ind w:firstLine="480" w:firstLineChars="20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br w:type="page"/>
      </w:r>
      <w:r>
        <w:rPr>
          <w:rFonts w:hint="eastAsia" w:ascii="仿宋_GB2312" w:hAnsi="仿宋_GB2312" w:eastAsia="仿宋_GB2312" w:cs="仿宋_GB2312"/>
          <w:b/>
          <w:bCs/>
          <w:color w:val="000000" w:themeColor="text1"/>
          <w:sz w:val="28"/>
          <w:szCs w:val="28"/>
          <w14:textFill>
            <w14:solidFill>
              <w14:schemeClr w14:val="tx1"/>
            </w14:solidFill>
          </w14:textFill>
        </w:rPr>
        <w:t>附表一：CIM智能展示中心建设内容</w:t>
      </w:r>
    </w:p>
    <w:tbl>
      <w:tblPr>
        <w:tblStyle w:val="20"/>
        <w:tblW w:w="5104" w:type="pct"/>
        <w:tblInd w:w="0" w:type="dxa"/>
        <w:tblLayout w:type="fixed"/>
        <w:tblCellMar>
          <w:top w:w="0" w:type="dxa"/>
          <w:left w:w="108" w:type="dxa"/>
          <w:bottom w:w="0" w:type="dxa"/>
          <w:right w:w="108" w:type="dxa"/>
        </w:tblCellMar>
      </w:tblPr>
      <w:tblGrid>
        <w:gridCol w:w="863"/>
        <w:gridCol w:w="1188"/>
        <w:gridCol w:w="4851"/>
        <w:gridCol w:w="615"/>
        <w:gridCol w:w="788"/>
      </w:tblGrid>
      <w:tr>
        <w:tblPrEx>
          <w:tblCellMar>
            <w:top w:w="0" w:type="dxa"/>
            <w:left w:w="108" w:type="dxa"/>
            <w:bottom w:w="0" w:type="dxa"/>
            <w:right w:w="108" w:type="dxa"/>
          </w:tblCellMar>
        </w:tblPrEx>
        <w:trPr>
          <w:trHeight w:val="458"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CIM智能展示中心建设</w:t>
            </w:r>
          </w:p>
        </w:tc>
      </w:tr>
      <w:tr>
        <w:tblPrEx>
          <w:tblCellMar>
            <w:top w:w="0" w:type="dxa"/>
            <w:left w:w="108" w:type="dxa"/>
            <w:bottom w:w="0" w:type="dxa"/>
            <w:right w:w="108" w:type="dxa"/>
          </w:tblCellMar>
        </w:tblPrEx>
        <w:trPr>
          <w:trHeight w:val="494"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1</w:t>
            </w:r>
          </w:p>
        </w:tc>
        <w:tc>
          <w:tcPr>
            <w:tcW w:w="4480" w:type="pct"/>
            <w:gridSpan w:val="4"/>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配套装饰工程</w:t>
            </w:r>
          </w:p>
        </w:tc>
      </w:tr>
      <w:tr>
        <w:tblPrEx>
          <w:tblCellMar>
            <w:top w:w="0" w:type="dxa"/>
            <w:left w:w="108" w:type="dxa"/>
            <w:bottom w:w="0" w:type="dxa"/>
            <w:right w:w="108" w:type="dxa"/>
          </w:tblCellMar>
        </w:tblPrEx>
        <w:trPr>
          <w:trHeight w:val="336"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1.1</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顶棚装饰</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尺寸：600*600mm,表面抗油污滚涂板，纯色，铝合金材质。</w:t>
            </w:r>
          </w:p>
        </w:tc>
        <w:tc>
          <w:tcPr>
            <w:tcW w:w="370"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50</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平米</w:t>
            </w:r>
          </w:p>
        </w:tc>
      </w:tr>
      <w:tr>
        <w:tblPrEx>
          <w:tblCellMar>
            <w:top w:w="0" w:type="dxa"/>
            <w:left w:w="108" w:type="dxa"/>
            <w:bottom w:w="0" w:type="dxa"/>
            <w:right w:w="108" w:type="dxa"/>
          </w:tblCellMar>
        </w:tblPrEx>
        <w:trPr>
          <w:trHeight w:val="640"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1.2</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静电地板</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木基静电活动地板，600*600mm，采用高密度阻燃刨花极芯基材，上表面高耐磨HPL贴面，四边静电胶条封边，地面采用压花铝箔或镀锌钢板粘贴。高防火要求设计。均布载荷≥12500N/㎡。</w:t>
            </w:r>
          </w:p>
        </w:tc>
        <w:tc>
          <w:tcPr>
            <w:tcW w:w="370"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50</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平米</w:t>
            </w:r>
          </w:p>
        </w:tc>
      </w:tr>
      <w:tr>
        <w:tblPrEx>
          <w:tblCellMar>
            <w:top w:w="0" w:type="dxa"/>
            <w:left w:w="108" w:type="dxa"/>
            <w:bottom w:w="0" w:type="dxa"/>
            <w:right w:w="108" w:type="dxa"/>
          </w:tblCellMar>
        </w:tblPrEx>
        <w:trPr>
          <w:trHeight w:val="336"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1.3</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电子化照明系统</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含照明系统及固定灯饰。</w:t>
            </w:r>
          </w:p>
        </w:tc>
        <w:tc>
          <w:tcPr>
            <w:tcW w:w="370"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项</w:t>
            </w:r>
          </w:p>
        </w:tc>
      </w:tr>
      <w:tr>
        <w:tblPrEx>
          <w:tblCellMar>
            <w:top w:w="0" w:type="dxa"/>
            <w:left w:w="108" w:type="dxa"/>
            <w:bottom w:w="0" w:type="dxa"/>
            <w:right w:w="108" w:type="dxa"/>
          </w:tblCellMar>
        </w:tblPrEx>
        <w:trPr>
          <w:trHeight w:val="940"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1.4</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设备间空调</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定频空调，电辅加热功率(W):2200W，循环风量(m3/h)：1000m3/h。三级能效。制热量(W)：5800W。外机噪音(dB(A)：48-53。支持电辅加热。制热功率(W)：1610。支持精准控温。产品匹数：2匹。制冷功率(W)：1600。冷暖类型：冷暖。送风方式：左右扫风。定频机能效比：3.28(EER)。制冷量(W)：5250W。</w:t>
            </w:r>
          </w:p>
        </w:tc>
        <w:tc>
          <w:tcPr>
            <w:tcW w:w="370"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台</w:t>
            </w:r>
          </w:p>
        </w:tc>
      </w:tr>
      <w:tr>
        <w:tblPrEx>
          <w:tblCellMar>
            <w:top w:w="0" w:type="dxa"/>
            <w:left w:w="108" w:type="dxa"/>
            <w:bottom w:w="0" w:type="dxa"/>
            <w:right w:w="108" w:type="dxa"/>
          </w:tblCellMar>
        </w:tblPrEx>
        <w:trPr>
          <w:trHeight w:val="808"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1.5</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轻工辅料及线缆辅材</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包含强电、软电及控制线的布设和安装。</w:t>
            </w:r>
          </w:p>
        </w:tc>
        <w:tc>
          <w:tcPr>
            <w:tcW w:w="370"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批</w:t>
            </w:r>
          </w:p>
        </w:tc>
      </w:tr>
      <w:tr>
        <w:tblPrEx>
          <w:tblCellMar>
            <w:top w:w="0" w:type="dxa"/>
            <w:left w:w="108" w:type="dxa"/>
            <w:bottom w:w="0" w:type="dxa"/>
            <w:right w:w="108" w:type="dxa"/>
          </w:tblCellMar>
        </w:tblPrEx>
        <w:trPr>
          <w:trHeight w:val="492"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2</w:t>
            </w:r>
          </w:p>
        </w:tc>
        <w:tc>
          <w:tcPr>
            <w:tcW w:w="4480" w:type="pct"/>
            <w:gridSpan w:val="4"/>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网络建设</w:t>
            </w:r>
          </w:p>
        </w:tc>
      </w:tr>
      <w:tr>
        <w:tblPrEx>
          <w:tblCellMar>
            <w:top w:w="0" w:type="dxa"/>
            <w:left w:w="108" w:type="dxa"/>
            <w:bottom w:w="0" w:type="dxa"/>
            <w:right w:w="108" w:type="dxa"/>
          </w:tblCellMar>
        </w:tblPrEx>
        <w:trPr>
          <w:trHeight w:val="1260"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2.1</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交换机</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产品类型：千兆以太网交换机。应用层级：三层。传输速率：10/100/1000Mbps。交换方式：存储-转发。背板带宽：598Gbps/5.98Tbps。包转发率：168Mpps。MAC地址表：64K。端口结构：非模块化。端口数量：34个。端口描述：24个10/100/1000Base-T以太网端口，4个100/1000：SFP，4个千兆SFP。控制端口：2个QSFP+。扩展模块：提供1个扩展插槽，可扩展支持业务插卡。</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台</w:t>
            </w:r>
          </w:p>
        </w:tc>
      </w:tr>
      <w:tr>
        <w:tblPrEx>
          <w:tblCellMar>
            <w:top w:w="0" w:type="dxa"/>
            <w:left w:w="108" w:type="dxa"/>
            <w:bottom w:w="0" w:type="dxa"/>
            <w:right w:w="108" w:type="dxa"/>
          </w:tblCellMar>
        </w:tblPrEx>
        <w:trPr>
          <w:trHeight w:val="940"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2.2</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防火墙</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1U机箱。单电源。每秒新建连接：1.6万。IPSEC VPN吞吐：60M。SSL VPN吞吐：160M。安全系统平台。应用识别引擎支持规则库的无缝切换。数据层高速处理支持RADIUS、TACACS、LDAP、AD、邮件、证书、Ukey、短信等多种认证协议和认证方式。APT主动防御。多层级冗余化。</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台</w:t>
            </w:r>
          </w:p>
        </w:tc>
      </w:tr>
      <w:tr>
        <w:tblPrEx>
          <w:tblCellMar>
            <w:top w:w="0" w:type="dxa"/>
            <w:left w:w="108" w:type="dxa"/>
            <w:bottom w:w="0" w:type="dxa"/>
            <w:right w:w="108" w:type="dxa"/>
          </w:tblCellMar>
        </w:tblPrEx>
        <w:trPr>
          <w:trHeight w:val="494"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3</w:t>
            </w:r>
          </w:p>
        </w:tc>
        <w:tc>
          <w:tcPr>
            <w:tcW w:w="4480" w:type="pct"/>
            <w:gridSpan w:val="4"/>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大屏幕系统</w:t>
            </w:r>
          </w:p>
        </w:tc>
      </w:tr>
      <w:tr>
        <w:tblPrEx>
          <w:tblCellMar>
            <w:top w:w="0" w:type="dxa"/>
            <w:left w:w="108" w:type="dxa"/>
            <w:bottom w:w="0" w:type="dxa"/>
            <w:right w:w="108" w:type="dxa"/>
          </w:tblCellMar>
        </w:tblPrEx>
        <w:trPr>
          <w:trHeight w:val="640"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3.1</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高清小间距LED显示单元</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100-120英寸高清小间距LED显示单元，像素间距小于2.5mm，分辨率1920*1080及以上，最大视角大于160°，16:9分辨率。</w:t>
            </w:r>
          </w:p>
        </w:tc>
        <w:tc>
          <w:tcPr>
            <w:tcW w:w="370"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12</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平米</w:t>
            </w:r>
          </w:p>
        </w:tc>
      </w:tr>
      <w:tr>
        <w:tblPrEx>
          <w:tblCellMar>
            <w:top w:w="0" w:type="dxa"/>
            <w:left w:w="108" w:type="dxa"/>
            <w:bottom w:w="0" w:type="dxa"/>
            <w:right w:w="108" w:type="dxa"/>
          </w:tblCellMar>
        </w:tblPrEx>
        <w:trPr>
          <w:trHeight w:val="336"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3.2</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矩阵</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满足4路高清信号输入，满足12路高清信号输出。</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台</w:t>
            </w:r>
          </w:p>
        </w:tc>
      </w:tr>
      <w:tr>
        <w:tblPrEx>
          <w:tblCellMar>
            <w:top w:w="0" w:type="dxa"/>
            <w:left w:w="108" w:type="dxa"/>
            <w:bottom w:w="0" w:type="dxa"/>
            <w:right w:w="108" w:type="dxa"/>
          </w:tblCellMar>
        </w:tblPrEx>
        <w:trPr>
          <w:trHeight w:val="336"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3.3</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辅材</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HDMI输入 输出线缆 电源线，线材，接头，控制线，空开等。</w:t>
            </w:r>
          </w:p>
        </w:tc>
        <w:tc>
          <w:tcPr>
            <w:tcW w:w="370"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12</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批</w:t>
            </w:r>
          </w:p>
        </w:tc>
      </w:tr>
      <w:tr>
        <w:tblPrEx>
          <w:tblCellMar>
            <w:top w:w="0" w:type="dxa"/>
            <w:left w:w="108" w:type="dxa"/>
            <w:bottom w:w="0" w:type="dxa"/>
            <w:right w:w="108" w:type="dxa"/>
          </w:tblCellMar>
        </w:tblPrEx>
        <w:trPr>
          <w:trHeight w:val="336"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3.4</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支架</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壁挂前维护支架。</w:t>
            </w:r>
          </w:p>
        </w:tc>
        <w:tc>
          <w:tcPr>
            <w:tcW w:w="370"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12</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r>
      <w:tr>
        <w:tblPrEx>
          <w:tblCellMar>
            <w:top w:w="0" w:type="dxa"/>
            <w:left w:w="108" w:type="dxa"/>
            <w:bottom w:w="0" w:type="dxa"/>
            <w:right w:w="108" w:type="dxa"/>
          </w:tblCellMar>
        </w:tblPrEx>
        <w:trPr>
          <w:trHeight w:val="485"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4</w:t>
            </w:r>
          </w:p>
        </w:tc>
        <w:tc>
          <w:tcPr>
            <w:tcW w:w="4480" w:type="pct"/>
            <w:gridSpan w:val="4"/>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音响系统</w:t>
            </w:r>
          </w:p>
        </w:tc>
      </w:tr>
      <w:tr>
        <w:tblPrEx>
          <w:tblCellMar>
            <w:top w:w="0" w:type="dxa"/>
            <w:left w:w="108" w:type="dxa"/>
            <w:bottom w:w="0" w:type="dxa"/>
            <w:right w:w="108" w:type="dxa"/>
          </w:tblCellMar>
        </w:tblPrEx>
        <w:trPr>
          <w:trHeight w:val="940"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4.1</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主扩音箱</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10dB)：优于或等于63Hz-21KHz；频率响应(±3dB): 优于或等于70Hz-20KHz；最大声压级：≥131dB峰值/125dB连续；覆盖角度：覆盖角度：70°×70；额定阻抗：4ohms；尺寸规格：考虑到隐藏安装，音箱深度不超过180mm。</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4</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r>
      <w:tr>
        <w:tblPrEx>
          <w:tblCellMar>
            <w:top w:w="0" w:type="dxa"/>
            <w:left w:w="108" w:type="dxa"/>
            <w:bottom w:w="0" w:type="dxa"/>
            <w:right w:w="108" w:type="dxa"/>
          </w:tblCellMar>
        </w:tblPrEx>
        <w:trPr>
          <w:trHeight w:val="640"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4.2</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功率放大器</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立体声功率: 8Ω/600W×2 ;4Ω/900W×2  桥接功率： 8Ω/1800W   并接功率： 2Ω/1800W  总谐波失真：1KHz＜0.03% 互调失真：60Hz/7kHz-4/1 &lt;0.08%  频率响应：20Hz-20kHz &lt;+/-1dB。</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台</w:t>
            </w:r>
          </w:p>
        </w:tc>
      </w:tr>
      <w:tr>
        <w:tblPrEx>
          <w:tblCellMar>
            <w:top w:w="0" w:type="dxa"/>
            <w:left w:w="108" w:type="dxa"/>
            <w:bottom w:w="0" w:type="dxa"/>
            <w:right w:w="108" w:type="dxa"/>
          </w:tblCellMar>
        </w:tblPrEx>
        <w:trPr>
          <w:trHeight w:val="336" w:hRule="atLeast"/>
        </w:trPr>
        <w:tc>
          <w:tcPr>
            <w:tcW w:w="52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4.3</w:t>
            </w:r>
          </w:p>
        </w:tc>
        <w:tc>
          <w:tcPr>
            <w:tcW w:w="715" w:type="pct"/>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数字音频处理器</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支持MIC/LINE输入、幻像供电；16个平衡线路输出</w:t>
            </w:r>
          </w:p>
        </w:tc>
        <w:tc>
          <w:tcPr>
            <w:tcW w:w="37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74" w:type="pct"/>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台</w:t>
            </w:r>
          </w:p>
        </w:tc>
      </w:tr>
      <w:tr>
        <w:tblPrEx>
          <w:tblCellMar>
            <w:top w:w="0" w:type="dxa"/>
            <w:left w:w="108" w:type="dxa"/>
            <w:bottom w:w="0" w:type="dxa"/>
            <w:right w:w="108" w:type="dxa"/>
          </w:tblCellMar>
        </w:tblPrEx>
        <w:trPr>
          <w:trHeight w:val="640" w:hRule="atLeast"/>
        </w:trPr>
        <w:tc>
          <w:tcPr>
            <w:tcW w:w="520" w:type="pct"/>
            <w:vMerge w:val="continue"/>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715" w:type="pct"/>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仿宋_GB2312" w:hAnsi="仿宋_GB2312" w:eastAsia="仿宋_GB2312" w:cs="仿宋_GB2312"/>
                <w:color w:val="000000" w:themeColor="text1"/>
                <w:sz w:val="24"/>
                <w14:textFill>
                  <w14:solidFill>
                    <w14:schemeClr w14:val="tx1"/>
                  </w14:solidFill>
                </w14:textFill>
              </w:rPr>
            </w:pP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每个输入通道噪声门、压限器、高通、低通、16段PEQ、延时器、电平表、反馈抑制器、反相、静音、音量控制</w:t>
            </w:r>
          </w:p>
        </w:tc>
        <w:tc>
          <w:tcPr>
            <w:tcW w:w="370" w:type="pct"/>
            <w:vMerge w:val="continue"/>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eastAsia="仿宋_GB2312" w:cs="仿宋_GB2312"/>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336" w:hRule="atLeast"/>
        </w:trPr>
        <w:tc>
          <w:tcPr>
            <w:tcW w:w="520" w:type="pct"/>
            <w:vMerge w:val="continue"/>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715" w:type="pct"/>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仿宋_GB2312" w:hAnsi="仿宋_GB2312" w:eastAsia="仿宋_GB2312" w:cs="仿宋_GB2312"/>
                <w:color w:val="000000" w:themeColor="text1"/>
                <w:sz w:val="24"/>
                <w14:textFill>
                  <w14:solidFill>
                    <w14:schemeClr w14:val="tx1"/>
                  </w14:solidFill>
                </w14:textFill>
              </w:rPr>
            </w:pP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16x16 Automix自动混音；16x16 矩阵混音</w:t>
            </w:r>
          </w:p>
        </w:tc>
        <w:tc>
          <w:tcPr>
            <w:tcW w:w="370" w:type="pct"/>
            <w:vMerge w:val="continue"/>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eastAsia="仿宋_GB2312" w:cs="仿宋_GB2312"/>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336" w:hRule="atLeast"/>
        </w:trPr>
        <w:tc>
          <w:tcPr>
            <w:tcW w:w="520" w:type="pct"/>
            <w:vMerge w:val="continue"/>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715" w:type="pct"/>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仿宋_GB2312" w:hAnsi="仿宋_GB2312" w:eastAsia="仿宋_GB2312" w:cs="仿宋_GB2312"/>
                <w:color w:val="000000" w:themeColor="text1"/>
                <w:sz w:val="24"/>
                <w14:textFill>
                  <w14:solidFill>
                    <w14:schemeClr w14:val="tx1"/>
                  </w14:solidFill>
                </w14:textFill>
              </w:rPr>
            </w:pP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每个输出通道压限器、高通、低通、16段PEQ、静音、音量控制</w:t>
            </w:r>
          </w:p>
        </w:tc>
        <w:tc>
          <w:tcPr>
            <w:tcW w:w="370" w:type="pct"/>
            <w:vMerge w:val="continue"/>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eastAsia="仿宋_GB2312" w:cs="仿宋_GB2312"/>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336" w:hRule="atLeast"/>
        </w:trPr>
        <w:tc>
          <w:tcPr>
            <w:tcW w:w="520" w:type="pct"/>
            <w:vMerge w:val="continue"/>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715" w:type="pct"/>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仿宋_GB2312" w:hAnsi="仿宋_GB2312" w:eastAsia="仿宋_GB2312" w:cs="仿宋_GB2312"/>
                <w:color w:val="000000" w:themeColor="text1"/>
                <w:sz w:val="24"/>
                <w14:textFill>
                  <w14:solidFill>
                    <w14:schemeClr w14:val="tx1"/>
                  </w14:solidFill>
                </w14:textFill>
              </w:rPr>
            </w:pP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内置信号发生器：正弦波、粉红噪声、白噪声</w:t>
            </w:r>
          </w:p>
        </w:tc>
        <w:tc>
          <w:tcPr>
            <w:tcW w:w="370" w:type="pct"/>
            <w:vMerge w:val="continue"/>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eastAsia="仿宋_GB2312" w:cs="仿宋_GB2312"/>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640"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4.4</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数字调音台</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18路输入数字混音台，适用于录音棚和现场演出·具备16个话放；具备Wifi模块，可直接与控制设备连接无需额外添加路由器；支持传输18in x 18out的USB2.0接口；支持增益共享式的自动混音。</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台</w:t>
            </w:r>
          </w:p>
        </w:tc>
      </w:tr>
      <w:tr>
        <w:tblPrEx>
          <w:tblCellMar>
            <w:top w:w="0" w:type="dxa"/>
            <w:left w:w="108" w:type="dxa"/>
            <w:bottom w:w="0" w:type="dxa"/>
            <w:right w:w="108" w:type="dxa"/>
          </w:tblCellMar>
        </w:tblPrEx>
        <w:trPr>
          <w:trHeight w:val="336"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4.5</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数字无线麦克风</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采用双天线、双接收线路，纯自动选讯(True Diversity)接收方式。</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10</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台</w:t>
            </w:r>
          </w:p>
        </w:tc>
      </w:tr>
      <w:tr>
        <w:tblPrEx>
          <w:tblCellMar>
            <w:top w:w="0" w:type="dxa"/>
            <w:left w:w="108" w:type="dxa"/>
            <w:bottom w:w="0" w:type="dxa"/>
            <w:right w:w="108" w:type="dxa"/>
          </w:tblCellMar>
        </w:tblPrEx>
        <w:trPr>
          <w:trHeight w:val="423"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5</w:t>
            </w:r>
          </w:p>
        </w:tc>
        <w:tc>
          <w:tcPr>
            <w:tcW w:w="4480" w:type="pct"/>
            <w:gridSpan w:val="4"/>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环境监测</w:t>
            </w:r>
          </w:p>
        </w:tc>
      </w:tr>
      <w:tr>
        <w:tblPrEx>
          <w:tblCellMar>
            <w:top w:w="0" w:type="dxa"/>
            <w:left w:w="108" w:type="dxa"/>
            <w:bottom w:w="0" w:type="dxa"/>
            <w:right w:w="108" w:type="dxa"/>
          </w:tblCellMar>
        </w:tblPrEx>
        <w:trPr>
          <w:trHeight w:val="1170"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5.1</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监控主机</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U机架式结构，具有双电源输入，双网口设计，带液晶显示；RJ形态RS485串口最多支持接入6台UPS、8台精密空调、6台精密配电、8台智能配电，8路输入、6路输出干接点凤凰端子接口；支持非动环品牌的智能设备协议开发；具有时间一键同步功能，无须繁琐设置；告警事件、操作日志和数据历史记录等信息存储时间不低于6年；支持声光、短信、电话和邮件等告警方式；具有多用户管理权限，避免人员误操作。支持APP；内置后备锂电池，含128GSD卡。</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台</w:t>
            </w:r>
          </w:p>
        </w:tc>
      </w:tr>
      <w:tr>
        <w:tblPrEx>
          <w:tblCellMar>
            <w:top w:w="0" w:type="dxa"/>
            <w:left w:w="108" w:type="dxa"/>
            <w:bottom w:w="0" w:type="dxa"/>
            <w:right w:w="108" w:type="dxa"/>
          </w:tblCellMar>
        </w:tblPrEx>
        <w:trPr>
          <w:trHeight w:val="336"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5.2</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声光告警器</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本地声光报警功能，需配12V供电。</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台</w:t>
            </w:r>
          </w:p>
        </w:tc>
      </w:tr>
      <w:tr>
        <w:tblPrEx>
          <w:tblCellMar>
            <w:top w:w="0" w:type="dxa"/>
            <w:left w:w="108" w:type="dxa"/>
            <w:bottom w:w="0" w:type="dxa"/>
            <w:right w:w="108" w:type="dxa"/>
          </w:tblCellMar>
        </w:tblPrEx>
        <w:trPr>
          <w:trHeight w:val="336"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5.3</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电话语音模块4G</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全网通4G，同时支持短信和电话语言告警，需由用户提供SIM大卡。</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r>
      <w:tr>
        <w:tblPrEx>
          <w:tblCellMar>
            <w:top w:w="0" w:type="dxa"/>
            <w:left w:w="108" w:type="dxa"/>
            <w:bottom w:w="0" w:type="dxa"/>
            <w:right w:w="108" w:type="dxa"/>
          </w:tblCellMar>
        </w:tblPrEx>
        <w:trPr>
          <w:trHeight w:val="640"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5.4</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温湿度传感器</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采用双RJ45设计，温 度 测 量 -20℃～85℃，湿 度 测 量 0～100%RH，温 度 精 度 误差&lt;±0.2℃，湿 度 精 度 误差&lt;±2%RH，在 25℃时测试，RS485 通信输出，MODBUS协议，持强磁力磁铁安装方式。</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r>
      <w:tr>
        <w:tblPrEx>
          <w:tblCellMar>
            <w:top w:w="0" w:type="dxa"/>
            <w:left w:w="108" w:type="dxa"/>
            <w:bottom w:w="0" w:type="dxa"/>
            <w:right w:w="108" w:type="dxa"/>
          </w:tblCellMar>
        </w:tblPrEx>
        <w:trPr>
          <w:trHeight w:val="336"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5.5</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烟雾传感器</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监控机房烟雾状况。</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6</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r>
      <w:tr>
        <w:tblPrEx>
          <w:tblCellMar>
            <w:top w:w="0" w:type="dxa"/>
            <w:left w:w="108" w:type="dxa"/>
            <w:bottom w:w="0" w:type="dxa"/>
            <w:right w:w="108" w:type="dxa"/>
          </w:tblCellMar>
        </w:tblPrEx>
        <w:trPr>
          <w:trHeight w:val="336"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5.6</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水浸控制器</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采用RS485通讯，可设漏水感应线缆灵敏级别，响应速度快，响应时间小于5s，便于安装与固定。</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r>
      <w:tr>
        <w:tblPrEx>
          <w:tblCellMar>
            <w:top w:w="0" w:type="dxa"/>
            <w:left w:w="108" w:type="dxa"/>
            <w:bottom w:w="0" w:type="dxa"/>
            <w:right w:w="108" w:type="dxa"/>
          </w:tblCellMar>
        </w:tblPrEx>
        <w:trPr>
          <w:trHeight w:val="336"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5.7</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非定位感应线5M</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长度为5米，采用两芯线设计，独特防水结构的塑料接插头，含引出线、终止端和固定胶贴。</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r>
      <w:tr>
        <w:tblPrEx>
          <w:tblCellMar>
            <w:top w:w="0" w:type="dxa"/>
            <w:left w:w="108" w:type="dxa"/>
            <w:bottom w:w="0" w:type="dxa"/>
            <w:right w:w="108" w:type="dxa"/>
          </w:tblCellMar>
        </w:tblPrEx>
        <w:trPr>
          <w:trHeight w:val="940"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5.8</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电池巡检仪主控模块</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主控模块可以从检测模块中读取电池的电压、内阻与温度值，并进行分析、处理、告警、显示、数据存储。具有多种通信接口，有RS485和RJ45双通讯口（TCP/IP MODBUS、MODBUS RTU）可连接上位机系统，有SD卡导出数据功能。</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r>
      <w:tr>
        <w:tblPrEx>
          <w:tblCellMar>
            <w:top w:w="0" w:type="dxa"/>
            <w:left w:w="108" w:type="dxa"/>
            <w:bottom w:w="0" w:type="dxa"/>
            <w:right w:w="108" w:type="dxa"/>
          </w:tblCellMar>
        </w:tblPrEx>
        <w:trPr>
          <w:trHeight w:val="336"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5.9</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电池巡检仪检测模块</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监测12V电池每节电池电压、内阻、极柱温度。</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10</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r>
      <w:tr>
        <w:tblPrEx>
          <w:tblCellMar>
            <w:top w:w="0" w:type="dxa"/>
            <w:left w:w="108" w:type="dxa"/>
            <w:bottom w:w="0" w:type="dxa"/>
            <w:right w:w="108" w:type="dxa"/>
          </w:tblCellMar>
        </w:tblPrEx>
        <w:trPr>
          <w:trHeight w:val="336" w:hRule="atLeast"/>
        </w:trPr>
        <w:tc>
          <w:tcPr>
            <w:tcW w:w="520"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5.10</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 xml:space="preserve">电池巡检仪电流模块 </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监测电流、配套霍尔传感器使用，每组电池配置一个。</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r>
      <w:tr>
        <w:tblPrEx>
          <w:tblCellMar>
            <w:top w:w="0" w:type="dxa"/>
            <w:left w:w="108" w:type="dxa"/>
            <w:bottom w:w="0" w:type="dxa"/>
            <w:right w:w="108" w:type="dxa"/>
          </w:tblCellMar>
        </w:tblPrEx>
        <w:trPr>
          <w:trHeight w:val="336" w:hRule="atLeast"/>
        </w:trPr>
        <w:tc>
          <w:tcPr>
            <w:tcW w:w="520"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5.11</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电池巡检仪霍尔传感器</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监测电流0~200A，配套电流模块使用。</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r>
      <w:tr>
        <w:tblPrEx>
          <w:tblCellMar>
            <w:top w:w="0" w:type="dxa"/>
            <w:left w:w="108" w:type="dxa"/>
            <w:bottom w:w="0" w:type="dxa"/>
            <w:right w:w="108" w:type="dxa"/>
          </w:tblCellMar>
        </w:tblPrEx>
        <w:trPr>
          <w:trHeight w:val="336" w:hRule="atLeast"/>
        </w:trPr>
        <w:tc>
          <w:tcPr>
            <w:tcW w:w="520"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5.12</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电池巡检仪辅材</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含采集线、通讯线、采集垫片等安装材料</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批</w:t>
            </w:r>
          </w:p>
        </w:tc>
      </w:tr>
      <w:tr>
        <w:tblPrEx>
          <w:tblCellMar>
            <w:top w:w="0" w:type="dxa"/>
            <w:left w:w="108" w:type="dxa"/>
            <w:bottom w:w="0" w:type="dxa"/>
            <w:right w:w="108" w:type="dxa"/>
          </w:tblCellMar>
        </w:tblPrEx>
        <w:trPr>
          <w:trHeight w:val="336" w:hRule="atLeast"/>
        </w:trPr>
        <w:tc>
          <w:tcPr>
            <w:tcW w:w="520"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5.13</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12V5A电源</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12V5A电源，具有短路、过压、过载保护</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r>
      <w:tr>
        <w:tblPrEx>
          <w:tblCellMar>
            <w:top w:w="0" w:type="dxa"/>
            <w:left w:w="108" w:type="dxa"/>
            <w:bottom w:w="0" w:type="dxa"/>
            <w:right w:w="108" w:type="dxa"/>
          </w:tblCellMar>
        </w:tblPrEx>
        <w:trPr>
          <w:trHeight w:val="476" w:hRule="atLeast"/>
        </w:trPr>
        <w:tc>
          <w:tcPr>
            <w:tcW w:w="520"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6</w:t>
            </w:r>
          </w:p>
        </w:tc>
        <w:tc>
          <w:tcPr>
            <w:tcW w:w="4480" w:type="pct"/>
            <w:gridSpan w:val="4"/>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电气系统</w:t>
            </w:r>
          </w:p>
        </w:tc>
      </w:tr>
      <w:tr>
        <w:tblPrEx>
          <w:tblCellMar>
            <w:top w:w="0" w:type="dxa"/>
            <w:left w:w="108" w:type="dxa"/>
            <w:bottom w:w="0" w:type="dxa"/>
            <w:right w:w="108" w:type="dxa"/>
          </w:tblCellMar>
        </w:tblPrEx>
        <w:trPr>
          <w:trHeight w:val="640" w:hRule="atLeast"/>
        </w:trPr>
        <w:tc>
          <w:tcPr>
            <w:tcW w:w="520"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6.1</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UPS主机</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15KVA/长机输入输出电压制式三进单出，超高的输入输出功率因数，峰值比3:1，配置5A大功率充电器，电池电压192VDC-288VDC.丰富的选配件，通信方式RS232\SNMP卡。</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台</w:t>
            </w:r>
          </w:p>
        </w:tc>
      </w:tr>
      <w:tr>
        <w:tblPrEx>
          <w:tblCellMar>
            <w:top w:w="0" w:type="dxa"/>
            <w:left w:w="108" w:type="dxa"/>
            <w:bottom w:w="0" w:type="dxa"/>
            <w:right w:w="108" w:type="dxa"/>
          </w:tblCellMar>
        </w:tblPrEx>
        <w:trPr>
          <w:trHeight w:val="336" w:hRule="atLeast"/>
        </w:trPr>
        <w:tc>
          <w:tcPr>
            <w:tcW w:w="520"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6.2</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免维护铅酸蓄电池</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12V100AH，系统后备延时60分钟。</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12</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块</w:t>
            </w:r>
          </w:p>
        </w:tc>
      </w:tr>
      <w:tr>
        <w:tblPrEx>
          <w:tblCellMar>
            <w:top w:w="0" w:type="dxa"/>
            <w:left w:w="108" w:type="dxa"/>
            <w:bottom w:w="0" w:type="dxa"/>
            <w:right w:w="108" w:type="dxa"/>
          </w:tblCellMar>
        </w:tblPrEx>
        <w:trPr>
          <w:trHeight w:val="336" w:hRule="atLeast"/>
        </w:trPr>
        <w:tc>
          <w:tcPr>
            <w:tcW w:w="520"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6.3</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电池柜</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可装24AH/32只 38AH/32只 65AH/16只 100AH/16只，4层，尺寸（mm）W宽:D深:H高：780*470*1190。</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台</w:t>
            </w:r>
          </w:p>
        </w:tc>
      </w:tr>
      <w:tr>
        <w:tblPrEx>
          <w:tblCellMar>
            <w:top w:w="0" w:type="dxa"/>
            <w:left w:w="108" w:type="dxa"/>
            <w:bottom w:w="0" w:type="dxa"/>
            <w:right w:w="108" w:type="dxa"/>
          </w:tblCellMar>
        </w:tblPrEx>
        <w:trPr>
          <w:trHeight w:val="640" w:hRule="atLeast"/>
        </w:trPr>
        <w:tc>
          <w:tcPr>
            <w:tcW w:w="520"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6.4</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电池柜内部电池之间连接线</w:t>
            </w:r>
          </w:p>
        </w:tc>
        <w:tc>
          <w:tcPr>
            <w:tcW w:w="292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电池柜内部电池之间连接线BVR16mm2，不含电池柜与UPS主机之间连接线缆。</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74"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条</w:t>
            </w:r>
          </w:p>
        </w:tc>
      </w:tr>
      <w:tr>
        <w:tblPrEx>
          <w:tblCellMar>
            <w:top w:w="0" w:type="dxa"/>
            <w:left w:w="108" w:type="dxa"/>
            <w:bottom w:w="0" w:type="dxa"/>
            <w:right w:w="108" w:type="dxa"/>
          </w:tblCellMar>
        </w:tblPrEx>
        <w:trPr>
          <w:trHeight w:val="336" w:hRule="atLeast"/>
        </w:trPr>
        <w:tc>
          <w:tcPr>
            <w:tcW w:w="520"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6.5</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直流断路器</w:t>
            </w:r>
          </w:p>
        </w:tc>
        <w:tc>
          <w:tcPr>
            <w:tcW w:w="2921" w:type="pct"/>
            <w:tcBorders>
              <w:top w:val="single" w:color="000000" w:sz="4" w:space="0"/>
              <w:left w:val="single" w:color="000000" w:sz="4" w:space="0"/>
              <w:bottom w:val="single" w:color="000000" w:sz="4" w:space="0"/>
              <w:right w:val="single" w:color="000000" w:sz="4" w:space="0"/>
            </w:tcBorders>
          </w:tcPr>
          <w:p>
            <w:pPr>
              <w:widowControl/>
              <w:snapToGrid w:val="0"/>
              <w:jc w:val="left"/>
              <w:textAlignment w:val="top"/>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125A 3P直流塑壳断路器。</w:t>
            </w:r>
          </w:p>
        </w:tc>
        <w:tc>
          <w:tcPr>
            <w:tcW w:w="37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r>
    </w:tbl>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br w:type="page"/>
      </w:r>
    </w:p>
    <w:p>
      <w:pPr>
        <w:pStyle w:val="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辽宁省城市信息模型（CIM）基础平台建设（002包）</w:t>
      </w:r>
    </w:p>
    <w:p>
      <w:pPr>
        <w:spacing w:line="360" w:lineRule="auto"/>
        <w:ind w:firstLine="480" w:firstLineChars="200"/>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一、建设背景</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以习近平新时代中国特色社会主义思想为指导，全面贯彻党的十九大和十九届二中、三中、四中、五中、六中全会精神，遵循《中华人民共和国国民经济和社会发展第十四个五年规划和二〇三五年远景目标纲要》，落实《国务院办公厅关于以新业态新模式引领新型消费加快发展的意见》（国办发〔2020〕32号）中“推动城市信息模型（CIM）基础平台”等新型消费基础设施和服务保障能力建设，加快推进《辽宁省“十四五”数字政府发展规划》的相关内容，全面推动数字政府建设向纵深发展，夯实基础、整合资源、优化流程、强化协同，着力解决企业和群众关心的热点难点问题，促进政府治理能力和水平不断提升，将做好“三篇大文章”、补齐“四个短板”、维护“五大安全”“六项重点任务”、实现“七个新突破”等任务目标作为辽宁省CIM基础平台建设的基本纲领。</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按照《住房和城乡建设部、工业和信息化部、中央网信办关于开展城市信息模型（CIM）基础平台建设的指导意见（建科〔2020〕59号）》、《城市信息模型（CIM）基础平台技术导则》（修订版）等文件的要求，超前布局，提前规划，夯实基础，提升应用，促进CIM在数字政府及其它专业化领域的应用，提升政务服务“一网通办”、政府治理“一网统管”，推进数字政务业务协同发展与政务资源的共建共享，将 CIM平台建设成为具备高实用性、创新性、服务性的数字政府标杆项目。</w:t>
      </w:r>
    </w:p>
    <w:p>
      <w:pPr>
        <w:spacing w:line="360" w:lineRule="auto"/>
        <w:ind w:firstLine="480" w:firstLineChars="200"/>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二、建设目标</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辽宁省CIM基础平台建设定位为数字政府建设的核心基础数据底座，是数字政府建设的中枢与纽带。以辽宁省数字政府建设的“上联国家、纵向到底、横向到边、整体智治”核心理念为指导，纵向上衔接国家和省内各市CIM基础平台，构建“国家-省-市”三级CIM平台体系；横向上对接各厅局数据，驱动数字政府建设各领域智能化、智慧化发展，支撑推进政务服务“一网通办”、社会治理“一网统管”、政府运行“一网协同”，推动政府治理体系和治理能力现代化。本次建设目标是完成省级CIM平台的初步搭建，建设全省统一的CIM数据库，形成符合CIM1级、CIM2级模型成果数据（可对接重点城市的CIM3级模型成果数据），初步构建住建“一张图”基础数据，并建设城市体检、工程建设项目审批省级监管与智慧应用、省级住建“一张图”等CIM+应用。</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按照住建部相关政策和已发布的CIM标准要求，结合省大数据局对我省CIM基础平台的定位，该项目是一项多专业融合、多部门协同的系统性工程。项目建设涉及平台研发、GIS数据库、BIM数据库等多源数据汇聚建设、应用场景设计以及与各地市、各厅局业务对接等协调任务，需要由业务能力较高的技术团队承担各项工作。从项目统筹管理角度，项目负责人应具备较强的组织协调能力，较丰富的技术知识储备，且应具有CIM基础平台的建设经验；从技术管理角度，投标人及其技术负责人应熟悉建筑、规划、市政、测绘、信息化等多领域的行业知识，以便于在项目各环节把控工程质量和技术方向；此外，CIM+应用场景的建设也需要技术团队具有足够的任务分工和细化能力，保证每一项工作都有专人专项负责，如城市体检场景要求团队人员了解住建部城市体检指标体系，了解城市规划管理、城市更新政策，工程建设项目审批管理场景需要团队人员了解BIM全流程管理、建筑设计、市政设计、结构设计等各类工程设计水平，住建“一张图”场景主要用于多场景融合应用，涉及地图共享、数据安全、数据保密等专业人员参与。因此，根据本项目建设内容的不同，对项目参与人员提出了不同专业、不同层次的要求，对企业资质的要求也随之增高，企业管理能力、项目实施团队人员稳定性和项目实施技术保障也成为本项目建设内容重点考察的内容，是本项目能够按计划如期完成的关键所在。</w:t>
      </w:r>
    </w:p>
    <w:p>
      <w:pPr>
        <w:spacing w:line="360" w:lineRule="auto"/>
        <w:ind w:firstLine="480" w:firstLineChars="200"/>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三、建设内容</w:t>
      </w:r>
    </w:p>
    <w:p>
      <w:pPr>
        <w:snapToGrid w:val="0"/>
        <w:spacing w:line="360" w:lineRule="auto"/>
        <w:ind w:firstLine="437"/>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省级CIM平台作为国家级和市级CIM平台之间的枢纽，承担上下衔接的重要作用，将作为“国家-省-市”三级CIM平台体系建设的重要环节，建设覆盖辽宁省各级部门和省内各城市的城市信息模型（CIM）基础平台，横向、纵向的数据汇聚与融合，数字政府各领域的CIM+应用场景建设，打造数字辽宁的核心基础数据底座。推进辽宁省各类数据的互联互通、共享交互与综合应用，实现数字赋能政务服务与管理，提升社会治理能力。本次建设内容为“1+1+3”，即建立一个城市信息模型信息资源库、开发一个基础平台、建设三个CIM+应用场景。具体包括：</w:t>
      </w:r>
    </w:p>
    <w:p>
      <w:pPr>
        <w:snapToGrid w:val="0"/>
        <w:spacing w:line="360" w:lineRule="auto"/>
        <w:ind w:firstLine="437"/>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辽宁省CIM平台建设内容包括建立一套基于城市信息模型信息资源库特点及应用方式的数据库、初步搭建一个省级CIM基础平台、打造一批基于省级CIM基础平台的专项应用（CIM+）场景等方面。</w:t>
      </w:r>
    </w:p>
    <w:p>
      <w:pPr>
        <w:snapToGrid w:val="0"/>
        <w:spacing w:line="360" w:lineRule="auto"/>
        <w:ind w:firstLine="437"/>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（一）城市信息模型信息资源库</w:t>
      </w:r>
    </w:p>
    <w:p>
      <w:pPr>
        <w:snapToGrid w:val="0"/>
        <w:spacing w:line="360" w:lineRule="auto"/>
        <w:ind w:firstLine="437"/>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建立省级CIM基础数据库，通过多种技术方式构建符合城市信息模型要素要求、底图包含时空基础数据、资源调查数据、规划管控数据、工程建设项目数据、公共专题数据、物联感知数据。搭建全省CIM1级地表模型、CIM2级白膜的省CIM基础数据底座；根据各市建设情况，开展其它级别模型的接入工作，并对数据进行清洗、治理、入库；针对重点地区的应用需求，建设BIM模型。信息资源目录符合技术要求的省级CIM基础数据库。数据对接方面要求预留与各厅局省内各市的数据接口。</w:t>
      </w:r>
    </w:p>
    <w:tbl>
      <w:tblPr>
        <w:tblStyle w:val="20"/>
        <w:tblW w:w="8120" w:type="dxa"/>
        <w:jc w:val="center"/>
        <w:tblLayout w:type="autofit"/>
        <w:tblCellMar>
          <w:top w:w="0" w:type="dxa"/>
          <w:left w:w="108" w:type="dxa"/>
          <w:bottom w:w="0" w:type="dxa"/>
          <w:right w:w="108" w:type="dxa"/>
        </w:tblCellMar>
      </w:tblPr>
      <w:tblGrid>
        <w:gridCol w:w="1061"/>
        <w:gridCol w:w="1294"/>
        <w:gridCol w:w="4253"/>
        <w:gridCol w:w="761"/>
        <w:gridCol w:w="751"/>
      </w:tblGrid>
      <w:tr>
        <w:tblPrEx>
          <w:tblCellMar>
            <w:top w:w="0" w:type="dxa"/>
            <w:left w:w="108" w:type="dxa"/>
            <w:bottom w:w="0" w:type="dxa"/>
            <w:right w:w="108"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b/>
                <w:bCs/>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序号</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b/>
                <w:bCs/>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工程名称</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b/>
                <w:bCs/>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功能描述</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b/>
                <w:bCs/>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单位</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b/>
                <w:bCs/>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数量</w:t>
            </w:r>
          </w:p>
        </w:tc>
      </w:tr>
      <w:tr>
        <w:tblPrEx>
          <w:tblCellMar>
            <w:top w:w="0" w:type="dxa"/>
            <w:left w:w="108" w:type="dxa"/>
            <w:bottom w:w="0" w:type="dxa"/>
            <w:right w:w="108" w:type="dxa"/>
          </w:tblCellMar>
        </w:tblPrEx>
        <w:trPr>
          <w:trHeight w:val="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城市信息模型信息资源库</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CIM基础平台主要涉及时空基础数据、资源调查与登记数据、规划管控数据、工程建设项目数据、公共专题数据、物联网感知数据等数据资源。为形成辽宁省数字孪生基底，打造智慧城市基础平台奠定基础。主要包括省级数据建库、与省数据共享交换平台数据对接、城市级数据接口开发等。</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项</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1</w:t>
            </w:r>
          </w:p>
        </w:tc>
      </w:tr>
    </w:tbl>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（二）省级CIM平台</w:t>
      </w:r>
    </w:p>
    <w:p>
      <w:pPr>
        <w:snapToGrid w:val="0"/>
        <w:spacing w:line="360" w:lineRule="auto"/>
        <w:ind w:firstLine="437"/>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省级CIM基础平台应包括数据汇聚管理系统、数据共享与交换系统、数据查询与可视化系统、统计分析系统、监测监督系统、运行管理系统、开发接口系统共计7个系统，提供对省级CIM基础数据库的数据管理、数据集成、数据驱动、数据展示、数据应用、数据共享能力和对各地市CIM基础平台建设情况监督管理的功能。</w:t>
      </w:r>
    </w:p>
    <w:tbl>
      <w:tblPr>
        <w:tblStyle w:val="20"/>
        <w:tblW w:w="8360" w:type="dxa"/>
        <w:jc w:val="center"/>
        <w:tblLayout w:type="autofit"/>
        <w:tblCellMar>
          <w:top w:w="0" w:type="dxa"/>
          <w:left w:w="108" w:type="dxa"/>
          <w:bottom w:w="0" w:type="dxa"/>
          <w:right w:w="108" w:type="dxa"/>
        </w:tblCellMar>
      </w:tblPr>
      <w:tblGrid>
        <w:gridCol w:w="890"/>
        <w:gridCol w:w="1634"/>
        <w:gridCol w:w="4344"/>
        <w:gridCol w:w="759"/>
        <w:gridCol w:w="733"/>
      </w:tblGrid>
      <w:tr>
        <w:tblPrEx>
          <w:tblCellMar>
            <w:top w:w="0" w:type="dxa"/>
            <w:left w:w="108" w:type="dxa"/>
            <w:bottom w:w="0" w:type="dxa"/>
            <w:right w:w="108" w:type="dxa"/>
          </w:tblCellMar>
        </w:tblPrEx>
        <w:trPr>
          <w:trHeight w:val="613"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b/>
                <w:bCs/>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序号</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b/>
                <w:bCs/>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工程名称</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b/>
                <w:bCs/>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功能描述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b/>
                <w:bCs/>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单位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b/>
                <w:bCs/>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数量</w:t>
            </w:r>
          </w:p>
        </w:tc>
      </w:tr>
      <w:tr>
        <w:tblPrEx>
          <w:tblCellMar>
            <w:top w:w="0" w:type="dxa"/>
            <w:left w:w="108" w:type="dxa"/>
            <w:bottom w:w="0" w:type="dxa"/>
            <w:right w:w="108" w:type="dxa"/>
          </w:tblCellMar>
        </w:tblPrEx>
        <w:trPr>
          <w:trHeight w:val="9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数据汇聚与管理系统</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数据汇聚与管理功能包括数据接入、数据清洗、数据融合、数据管理共计4个功能，实现CIM数据的接入、清洗、融合、管理，实现数据共享和业务协同。</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项</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1</w:t>
            </w:r>
          </w:p>
        </w:tc>
      </w:tr>
      <w:tr>
        <w:tblPrEx>
          <w:tblCellMar>
            <w:top w:w="0" w:type="dxa"/>
            <w:left w:w="108" w:type="dxa"/>
            <w:bottom w:w="0" w:type="dxa"/>
            <w:right w:w="108" w:type="dxa"/>
          </w:tblCellMar>
        </w:tblPrEx>
        <w:trPr>
          <w:trHeight w:val="796"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数据共享与交换</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支持跨部门数据共享与交换，实现跨部门间业务协同。</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项</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1</w:t>
            </w:r>
          </w:p>
        </w:tc>
      </w:tr>
      <w:tr>
        <w:tblPrEx>
          <w:tblCellMar>
            <w:top w:w="0" w:type="dxa"/>
            <w:left w:w="108" w:type="dxa"/>
            <w:bottom w:w="0" w:type="dxa"/>
            <w:right w:w="108" w:type="dxa"/>
          </w:tblCellMar>
        </w:tblPrEx>
        <w:trPr>
          <w:trHeight w:val="2040"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数据查询与可视化系统</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具备CIM数据查询与可视化能力，融合“多规合一”、管控要素、城市精模、地下空间数据和BIM模型数据等，实现宏观微观一体化、地上地下一体化、室内室外一体化，满足面向各类城市建设、管理主题数据的融合展示，表达和管理城市三维空间。主要包括数据查询子系统、数据可视化子系统以及可视化组件工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项</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1</w:t>
            </w:r>
          </w:p>
        </w:tc>
      </w:tr>
      <w:tr>
        <w:tblPrEx>
          <w:tblCellMar>
            <w:top w:w="0" w:type="dxa"/>
            <w:left w:w="108" w:type="dxa"/>
            <w:bottom w:w="0" w:type="dxa"/>
            <w:right w:w="108" w:type="dxa"/>
          </w:tblCellMar>
        </w:tblPrEx>
        <w:trPr>
          <w:trHeight w:val="2040"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4</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统计分析系统</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在对现实城市空间的全空间数字化表达的基础上，提供对空间相关矢量、栅格、3D以及实时位置数据的分析能力，提供视觉分析、空间分析、辅助分析以及模拟仿真能力，充分利用BIM模型的可模拟性，结合二维地图、三维模型等数据，实现日照模拟、视线分析等功能，透过仿真的事前分析与模拟，来辅助各项决策。</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项</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1</w:t>
            </w:r>
          </w:p>
        </w:tc>
      </w:tr>
      <w:tr>
        <w:tblPrEx>
          <w:tblCellMar>
            <w:top w:w="0" w:type="dxa"/>
            <w:left w:w="108" w:type="dxa"/>
            <w:bottom w:w="0" w:type="dxa"/>
            <w:right w:w="108" w:type="dxa"/>
          </w:tblCellMar>
        </w:tblPrEx>
        <w:trPr>
          <w:trHeight w:val="1275"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监测监督系统</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提供省级CIM基础平台对下一级平台的远程监测监督功能。省级CIM基础平台支持对下一级CIM基础平台的无缝调入，支持对下一级平台运行机制、运行状况进行监测监督。</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项</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1</w:t>
            </w:r>
          </w:p>
        </w:tc>
      </w:tr>
      <w:tr>
        <w:tblPrEx>
          <w:tblCellMar>
            <w:top w:w="0" w:type="dxa"/>
            <w:left w:w="108" w:type="dxa"/>
            <w:bottom w:w="0" w:type="dxa"/>
            <w:right w:w="108" w:type="dxa"/>
          </w:tblCellMar>
        </w:tblPrEx>
        <w:trPr>
          <w:trHeight w:val="408"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6</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运行管理系统</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作为CIM基础平台展示资源的窗口，是所有数据、服务的统一出口，是用户登录平台、访问数据和调用功能的唯一入口，为各类用户使用和共享CIM数据提供一站式服务。提供包括运维管理、服务管理、数据库管理配置、服务资源管理及运维监控等功能。</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项</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1</w:t>
            </w:r>
          </w:p>
        </w:tc>
      </w:tr>
      <w:tr>
        <w:tblPrEx>
          <w:tblCellMar>
            <w:top w:w="0" w:type="dxa"/>
            <w:left w:w="108" w:type="dxa"/>
            <w:bottom w:w="0" w:type="dxa"/>
            <w:right w:w="108" w:type="dxa"/>
          </w:tblCellMar>
        </w:tblPrEx>
        <w:trPr>
          <w:trHeight w:val="1275"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7</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开发接口系统</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开发接口通过数据服务和开发API接口管理实现平台数据的集成和扩展，提供开发指南、示例DEMO、二次开发接口，方便基于CIM基础平台的数据和功能，结合业务需求定制开发基于CIM的应用。</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项</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1</w:t>
            </w:r>
          </w:p>
        </w:tc>
      </w:tr>
    </w:tbl>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（三）CIM+应用场景</w:t>
      </w:r>
    </w:p>
    <w:p>
      <w:pPr>
        <w:snapToGrid w:val="0"/>
        <w:spacing w:line="360" w:lineRule="auto"/>
        <w:ind w:firstLine="437"/>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建设基于CIM基础平台的城市体检应用、基于CIM基础平台的工程建设项目审批管理应用、基于CIM基础平台的省级住建“一张图”应用。</w:t>
      </w:r>
    </w:p>
    <w:tbl>
      <w:tblPr>
        <w:tblStyle w:val="20"/>
        <w:tblW w:w="8627" w:type="dxa"/>
        <w:jc w:val="center"/>
        <w:tblLayout w:type="fixed"/>
        <w:tblCellMar>
          <w:top w:w="0" w:type="dxa"/>
          <w:left w:w="108" w:type="dxa"/>
          <w:bottom w:w="0" w:type="dxa"/>
          <w:right w:w="108" w:type="dxa"/>
        </w:tblCellMar>
      </w:tblPr>
      <w:tblGrid>
        <w:gridCol w:w="960"/>
        <w:gridCol w:w="1968"/>
        <w:gridCol w:w="3978"/>
        <w:gridCol w:w="868"/>
        <w:gridCol w:w="853"/>
      </w:tblGrid>
      <w:tr>
        <w:tblPrEx>
          <w:tblCellMar>
            <w:top w:w="0" w:type="dxa"/>
            <w:left w:w="108" w:type="dxa"/>
            <w:bottom w:w="0" w:type="dxa"/>
            <w:right w:w="108" w:type="dxa"/>
          </w:tblCellMar>
        </w:tblPrEx>
        <w:trPr>
          <w:trHeight w:val="538"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b/>
                <w:bCs/>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序号</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b/>
                <w:bCs/>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工程名称</w:t>
            </w:r>
          </w:p>
        </w:tc>
        <w:tc>
          <w:tcPr>
            <w:tcW w:w="3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b/>
                <w:bCs/>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功能描述</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b/>
                <w:bCs/>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单位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b/>
                <w:bCs/>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数量</w:t>
            </w:r>
          </w:p>
        </w:tc>
      </w:tr>
      <w:tr>
        <w:tblPrEx>
          <w:tblCellMar>
            <w:top w:w="0" w:type="dxa"/>
            <w:left w:w="108" w:type="dxa"/>
            <w:bottom w:w="0" w:type="dxa"/>
            <w:right w:w="108" w:type="dxa"/>
          </w:tblCellMar>
        </w:tblPrEx>
        <w:trPr>
          <w:trHeight w:val="102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基于CIM基础平台的城市体检应用</w:t>
            </w:r>
          </w:p>
        </w:tc>
        <w:tc>
          <w:tcPr>
            <w:tcW w:w="3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基于省级CIM平台的数据和功能服务建设城市体检应用，实现城市体检指标数据及结果在省级层面基于三维一体化视角的展示，统计分析与智能决策。</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1</w:t>
            </w:r>
          </w:p>
        </w:tc>
      </w:tr>
      <w:tr>
        <w:tblPrEx>
          <w:tblCellMar>
            <w:top w:w="0" w:type="dxa"/>
            <w:left w:w="108" w:type="dxa"/>
            <w:bottom w:w="0" w:type="dxa"/>
            <w:right w:w="108" w:type="dxa"/>
          </w:tblCellMar>
        </w:tblPrEx>
        <w:trPr>
          <w:trHeight w:val="204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基于CIM基础平台的工程建设项目审批管理应用</w:t>
            </w:r>
          </w:p>
        </w:tc>
        <w:tc>
          <w:tcPr>
            <w:tcW w:w="3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通过工程建设项目审批评价客观衡量各地工程建设项目审批优化度以及企业群众办事便利度，对工程建设项目全流程审批情况进行省级层面的监督和管理，实时掌握项目审批情况，及时发现问题并进行处理；引导各地找出差距、精准施策，持续推进工程建设项目审批制度改革，持续转变政府职能，优化营商环境。</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1</w:t>
            </w:r>
          </w:p>
        </w:tc>
      </w:tr>
      <w:tr>
        <w:tblPrEx>
          <w:tblCellMar>
            <w:top w:w="0" w:type="dxa"/>
            <w:left w:w="108" w:type="dxa"/>
            <w:bottom w:w="0" w:type="dxa"/>
            <w:right w:w="108" w:type="dxa"/>
          </w:tblCellMar>
        </w:tblPrEx>
        <w:trPr>
          <w:trHeight w:val="102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基于CIM基础平台的省级住建“一张图”应用</w:t>
            </w:r>
          </w:p>
        </w:tc>
        <w:tc>
          <w:tcPr>
            <w:tcW w:w="3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通过可视化与电子沙盘数据融合，展示多场景下的领导决策辅助“一张图”效果。包括城市用地、城市建筑、项目审查统计分析，以及城市房地产监测等内容。</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1</w:t>
            </w:r>
          </w:p>
        </w:tc>
      </w:tr>
    </w:tbl>
    <w:p>
      <w:pPr>
        <w:pStyle w:val="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br w:type="page"/>
      </w:r>
      <w:r>
        <w:rPr>
          <w:rFonts w:hint="eastAsia" w:ascii="仿宋_GB2312" w:eastAsia="仿宋_GB2312"/>
          <w:color w:val="000000" w:themeColor="text1"/>
          <w:sz w:val="32"/>
          <w:szCs w:val="32"/>
          <w14:textFill>
            <w14:solidFill>
              <w14:schemeClr w14:val="tx1"/>
            </w14:solidFill>
          </w14:textFill>
        </w:rPr>
        <w:t>辽宁省城市运行管理服务平台（003包）</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一、建设背景</w:t>
      </w:r>
    </w:p>
    <w:p>
      <w:pPr>
        <w:snapToGrid w:val="0"/>
        <w:spacing w:before="40" w:line="360" w:lineRule="auto"/>
        <w:ind w:firstLine="56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国民经济和社会发展第十四个五年规划和二〇三五年远景目标纲要》文件中指出“完善城市信息模型平台和运行管理服务平台”“提升城市智慧化水平，推行城市楼宇、公共空间、地下管网等一张图数字化管理和城市运行一网统管”。住房和城乡建设部印发《关于加快建设城市运行管理服务平台的通知》，要求“2023年底前，所有省、自治区建成省级城市运管服平台”。</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二、工期要求</w:t>
      </w:r>
    </w:p>
    <w:p>
      <w:pPr>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本项目要求2023年12月31日前完成项目建设内容。</w:t>
      </w:r>
    </w:p>
    <w:p>
      <w:pPr>
        <w:snapToGrid w:val="0"/>
        <w:spacing w:line="360" w:lineRule="auto"/>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三、建设内容</w:t>
      </w:r>
    </w:p>
    <w:p>
      <w:pPr>
        <w:snapToGrid w:val="0"/>
        <w:spacing w:before="40" w:line="360" w:lineRule="auto"/>
        <w:ind w:firstLine="56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根据国家、省、市三级平台的目标定位，构建省级城市运行管理服务系统应用体系，共享国家平台业务指导系统，针对我省城市运行管理服务平台建设实际需求，建设监督检查、监测分析、建筑节能、老旧小区改造台账填报、综合评价、决策建议等6个应用系统；建设辽宁省综合性城市管理数据库；围绕数据对接需求设计对接接口；实现数据汇聚、数据交换、应用维护等后台系统的支撑与管理。本次项目建设需求如下：</w:t>
      </w:r>
    </w:p>
    <w:p>
      <w:pPr>
        <w:pStyle w:val="49"/>
        <w:snapToGrid w:val="0"/>
        <w:spacing w:line="360" w:lineRule="auto"/>
        <w:ind w:left="560" w:firstLine="0" w:firstLineChars="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（一）辽宁省城市运行管理服务平台应用系统</w:t>
      </w:r>
    </w:p>
    <w:p>
      <w:pPr>
        <w:pStyle w:val="49"/>
        <w:numPr>
          <w:ilvl w:val="0"/>
          <w:numId w:val="6"/>
        </w:numPr>
        <w:snapToGrid w:val="0"/>
        <w:spacing w:line="360" w:lineRule="auto"/>
        <w:ind w:left="0" w:firstLine="48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监督检查系统</w:t>
      </w:r>
    </w:p>
    <w:p>
      <w:pPr>
        <w:snapToGrid w:val="0"/>
        <w:spacing w:line="360" w:lineRule="auto"/>
        <w:ind w:firstLine="56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根据上级部门及省住房和城乡建设厅的相关工作部署，向市级平台布置工作任务，明确工作要求，规定完成时限，接收任务完成情况反馈，并对任务完成进度进行跟踪，及时对进度滞后、超期未完成的任务进行督办；接收并按要求反馈国家平台派发的工作任务；定期向市级平台发布工作通报。</w:t>
      </w:r>
    </w:p>
    <w:p>
      <w:pPr>
        <w:pStyle w:val="49"/>
        <w:numPr>
          <w:ilvl w:val="0"/>
          <w:numId w:val="6"/>
        </w:numPr>
        <w:snapToGrid w:val="0"/>
        <w:spacing w:line="360" w:lineRule="auto"/>
        <w:ind w:left="0" w:firstLine="48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监测分析系统</w:t>
      </w:r>
    </w:p>
    <w:p>
      <w:pPr>
        <w:snapToGrid w:val="0"/>
        <w:spacing w:line="360" w:lineRule="auto"/>
        <w:ind w:firstLine="56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监测分析系统用于对全省市政设施、房屋建筑、交通设施、人员密集场所等安全监测预警和风险隐患排查整改情况进行分析和评估。通过汇聚和分析各地城市运行安全监测预警和风险隐患排查整改数据，及时掌握城市运行安全状况，分析评估城市运行风险，开展跟踪督办。</w:t>
      </w:r>
    </w:p>
    <w:p>
      <w:pPr>
        <w:pStyle w:val="49"/>
        <w:numPr>
          <w:ilvl w:val="0"/>
          <w:numId w:val="6"/>
        </w:numPr>
        <w:snapToGrid w:val="0"/>
        <w:spacing w:line="360" w:lineRule="auto"/>
        <w:ind w:left="0" w:firstLine="48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综合评价系统</w:t>
      </w:r>
    </w:p>
    <w:p>
      <w:pPr>
        <w:snapToGrid w:val="0"/>
        <w:spacing w:line="360" w:lineRule="auto"/>
        <w:ind w:firstLine="56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综合评价系统需要满足城市综合管理服务评价工作要求，围绕“干净、整洁、有序、群众满意”和“市政设施安全、房屋建筑安全、交通设施安全、人员密集场所安全、群众获得感”等核心指标，对各城市开展综合评价工作。</w:t>
      </w:r>
    </w:p>
    <w:p>
      <w:pPr>
        <w:pStyle w:val="49"/>
        <w:numPr>
          <w:ilvl w:val="0"/>
          <w:numId w:val="6"/>
        </w:numPr>
        <w:snapToGrid w:val="0"/>
        <w:spacing w:line="360" w:lineRule="auto"/>
        <w:ind w:left="0" w:firstLine="48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决策建议系统</w:t>
      </w:r>
    </w:p>
    <w:p>
      <w:pPr>
        <w:snapToGrid w:val="0"/>
        <w:spacing w:line="360" w:lineRule="auto"/>
        <w:ind w:firstLine="56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决策建议系统用于汇聚业务指导、监督检查、监测分析和综合评价等系统数据，以及各地市平台数字化城市管理系统数据、城市运行管理工作相关的其他数据，通过大数据分析和常规软件工具等进行数据挖掘、捕捉、处理，形成工作趋势分析、工作报告和决策建议等，为完善政策法规、部署工作任务、上报工作建议提供基础支撑。</w:t>
      </w:r>
    </w:p>
    <w:p>
      <w:pPr>
        <w:pStyle w:val="49"/>
        <w:numPr>
          <w:ilvl w:val="0"/>
          <w:numId w:val="6"/>
        </w:numPr>
        <w:snapToGrid w:val="0"/>
        <w:spacing w:line="360" w:lineRule="auto"/>
        <w:ind w:left="0" w:firstLine="48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老旧小区改造台账填报系统</w:t>
      </w:r>
    </w:p>
    <w:p>
      <w:pPr>
        <w:snapToGrid w:val="0"/>
        <w:spacing w:line="360" w:lineRule="auto"/>
        <w:ind w:firstLine="56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老旧小区改造台账填报系统旨在指导各地有序有效开展城镇老旧小区改造统计工作，及时了解新开工改造城镇老旧小区数量等指标，全面掌握改造小区情况及服务设施的计划和改造情况，为各级政府制定政策和宏观管理提供依据。</w:t>
      </w:r>
    </w:p>
    <w:p>
      <w:pPr>
        <w:pStyle w:val="49"/>
        <w:numPr>
          <w:ilvl w:val="0"/>
          <w:numId w:val="6"/>
        </w:numPr>
        <w:snapToGrid w:val="0"/>
        <w:spacing w:line="360" w:lineRule="auto"/>
        <w:ind w:left="0" w:firstLine="48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建筑节能系统</w:t>
      </w:r>
    </w:p>
    <w:p>
      <w:pPr>
        <w:snapToGrid w:val="0"/>
        <w:spacing w:line="360" w:lineRule="auto"/>
        <w:ind w:firstLine="56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为完善辽宁省内政府类公共建筑能耗相关建设要求，需针对辽宁省建筑能耗与碳排放统计核算、监测预警管理等工作也流程进行信息化建设，实现能耗与碳排放采集与监测、统计分析、能效分析、潜力分析，根据相关数据进行统计核算和预警分析。</w:t>
      </w:r>
    </w:p>
    <w:p>
      <w:pPr>
        <w:pStyle w:val="49"/>
        <w:numPr>
          <w:ilvl w:val="0"/>
          <w:numId w:val="6"/>
        </w:numPr>
        <w:snapToGrid w:val="0"/>
        <w:spacing w:line="360" w:lineRule="auto"/>
        <w:ind w:left="0" w:firstLine="48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应用维护系统</w:t>
      </w:r>
    </w:p>
    <w:p>
      <w:pPr>
        <w:snapToGrid w:val="0"/>
        <w:spacing w:line="360" w:lineRule="auto"/>
        <w:ind w:firstLine="56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应用维护系统可以快速搭建业务，定制业务工作流程，设置组织机构，并能够方便快捷地完成工作表单内容样式调整、业务流程修改、人员权限变动、系统数据备份等日常维护工作。系统管理人员可以方便地调整系统使之适应用户需要，并可以在使用中不断地变更系统配置，无须软件开发者的干预，充分赋予了用户自维护、自发展、自适应的能力。</w:t>
      </w:r>
    </w:p>
    <w:p>
      <w:pPr>
        <w:pStyle w:val="49"/>
        <w:numPr>
          <w:ilvl w:val="0"/>
          <w:numId w:val="6"/>
        </w:numPr>
        <w:snapToGrid w:val="0"/>
        <w:spacing w:line="360" w:lineRule="auto"/>
        <w:ind w:left="0" w:firstLine="48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数据接口设计</w:t>
      </w:r>
    </w:p>
    <w:p>
      <w:pPr>
        <w:snapToGrid w:val="0"/>
        <w:spacing w:line="360" w:lineRule="auto"/>
        <w:ind w:firstLine="560"/>
        <w:rPr>
          <w:rFonts w:ascii="仿宋_GB2312" w:hAnsi="仿宋_GB2312" w:eastAsia="仿宋_GB2312" w:cs="仿宋_GB2312"/>
          <w:color w:val="000000" w:themeColor="text1"/>
          <w:sz w:val="24"/>
          <w:lang w:bidi="ar"/>
          <w14:textFill>
            <w14:solidFill>
              <w14:schemeClr w14:val="tx1"/>
            </w14:solidFill>
          </w14:textFill>
        </w:rPr>
      </w:pPr>
      <w:r>
        <w:rPr>
          <w:rFonts w:hint="eastAsia" w:ascii="仿宋_GB2312" w:hAnsi="仿宋_GB2312" w:eastAsia="仿宋_GB2312" w:cs="仿宋_GB2312"/>
          <w:color w:val="000000" w:themeColor="text1"/>
          <w:sz w:val="24"/>
          <w:lang w:bidi="ar"/>
          <w14:textFill>
            <w14:solidFill>
              <w14:schemeClr w14:val="tx1"/>
            </w14:solidFill>
          </w14:textFill>
        </w:rPr>
        <w:t>按照《城市运行管理服务平台技术标准》及《城市运行管理服务平台数据标准》，深入调研各地市已建信息化系统现状，制定省级平台统一数据接口标准，接入各地市城市管理基础数据、行业应用数据以及监测分析数据等，并将接入的数据进行统一清洗、融合、发布，满足平台使用的要求。</w:t>
      </w:r>
    </w:p>
    <w:p>
      <w:pPr>
        <w:pStyle w:val="49"/>
        <w:snapToGrid w:val="0"/>
        <w:spacing w:line="360" w:lineRule="auto"/>
        <w:ind w:left="560" w:firstLine="0" w:firstLineChars="0"/>
        <w:rPr>
          <w:rFonts w:ascii="仿宋_GB2312" w:hAnsi="仿宋_GB2312" w:eastAsia="仿宋_GB2312" w:cs="仿宋_GB2312"/>
          <w:color w:val="000000" w:themeColor="text1"/>
          <w:sz w:val="24"/>
          <w:lang w:bidi="ar"/>
          <w14:textFill>
            <w14:solidFill>
              <w14:schemeClr w14:val="tx1"/>
            </w14:solidFill>
          </w14:textFill>
        </w:rPr>
      </w:pPr>
      <w:r>
        <w:rPr>
          <w:rFonts w:hint="eastAsia" w:ascii="仿宋_GB2312" w:hAnsi="仿宋_GB2312" w:eastAsia="仿宋_GB2312" w:cs="仿宋_GB2312"/>
          <w:color w:val="000000" w:themeColor="text1"/>
          <w:sz w:val="24"/>
          <w:lang w:bidi="ar"/>
          <w14:textFill>
            <w14:solidFill>
              <w14:schemeClr w14:val="tx1"/>
            </w14:solidFill>
          </w14:textFill>
        </w:rPr>
        <w:t>（二）辽宁省城市运行管理服务平台信息资源库</w:t>
      </w:r>
    </w:p>
    <w:p>
      <w:pPr>
        <w:snapToGrid w:val="0"/>
        <w:spacing w:line="360" w:lineRule="auto"/>
        <w:ind w:firstLine="560"/>
        <w:rPr>
          <w:rFonts w:ascii="仿宋_GB2312" w:hAnsi="仿宋_GB2312" w:eastAsia="仿宋_GB2312" w:cs="仿宋_GB2312"/>
          <w:color w:val="000000" w:themeColor="text1"/>
          <w:sz w:val="24"/>
          <w14:textFill>
            <w14:solidFill>
              <w14:schemeClr w14:val="tx1"/>
            </w14:solidFill>
          </w14:textFill>
        </w:rPr>
      </w:pPr>
      <w:bookmarkStart w:id="120" w:name="OLE_LINK1"/>
      <w:r>
        <w:rPr>
          <w:rFonts w:hint="eastAsia" w:ascii="仿宋_GB2312" w:hAnsi="仿宋_GB2312" w:eastAsia="仿宋_GB2312" w:cs="仿宋_GB2312"/>
          <w:color w:val="000000" w:themeColor="text1"/>
          <w:sz w:val="24"/>
          <w14:textFill>
            <w14:solidFill>
              <w14:schemeClr w14:val="tx1"/>
            </w14:solidFill>
          </w14:textFill>
        </w:rPr>
        <w:t>依托各市、各部门汇聚的城市管理领域相关数据，根据省级平台监管需要，建设业务指导专题数据库、监督检查专题数据库、城市管理基础数据库、综合评价专题数据库、数字城管专题数据库、市政公用专题数据库、市容环卫专题数据库、园林绿化专题数据库、城管执法专题数据库和监测分析专题库、建筑节能专题数据库、老旧小区改造专题数据库共12个专题数据库，形成辽宁省综合性城市管理数据库，并将12个专题数据库全部梳理出数据资源目录，明确可共享给省政务信息资源共享平台的数据项。</w:t>
      </w:r>
      <w:bookmarkEnd w:id="120"/>
    </w:p>
    <w:p>
      <w:pPr>
        <w:snapToGrid w:val="0"/>
        <w:spacing w:line="360" w:lineRule="auto"/>
        <w:ind w:firstLine="56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四、项目实施管理要求</w:t>
      </w:r>
    </w:p>
    <w:p>
      <w:pPr>
        <w:snapToGrid w:val="0"/>
        <w:spacing w:line="360" w:lineRule="auto"/>
        <w:ind w:firstLine="56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投标人要针对本项目提供详细的项目实施方案，包括本项目的项目负责人和项目组成员名单及角色分工、项目实施计划以及项目培训方案等，基本要求如下：</w:t>
      </w:r>
    </w:p>
    <w:p>
      <w:pPr>
        <w:snapToGrid w:val="0"/>
        <w:spacing w:line="360" w:lineRule="auto"/>
        <w:ind w:firstLine="56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负责人：具备管理大型、复杂、类似信息化系统项目建设经验和能力，能根据需求组织制订可行的项目管理计划；能够很好的对项目的人员、进度和质量进行管理，并能根据实际情况及时做出调整，保证项目的高质量实施交付。</w:t>
      </w:r>
    </w:p>
    <w:p>
      <w:pPr>
        <w:snapToGrid w:val="0"/>
        <w:spacing w:line="360" w:lineRule="auto"/>
        <w:ind w:firstLine="56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组成员：项目组要综合具有系统平台的软件架构设计、系统开发、软件测试、现场培训等工作内容的经验和能力；具有对系统平台运行环境的安全保障和网络保障等能力，团队派遣角色包括但不限于：系统架构设计师、软件设计师、软件评测师、信息安全工程师、系统集成项目管理工程师、网络工程师等重要岗位（角色）。</w:t>
      </w:r>
    </w:p>
    <w:p>
      <w:pPr>
        <w:ind w:firstLine="480" w:firstLineChars="20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五、技术需求</w:t>
      </w:r>
    </w:p>
    <w:tbl>
      <w:tblPr>
        <w:tblStyle w:val="20"/>
        <w:tblpPr w:leftFromText="180" w:rightFromText="180" w:vertAnchor="text" w:tblpX="-651" w:tblpY="1"/>
        <w:tblOverlap w:val="never"/>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60"/>
        <w:gridCol w:w="5867"/>
        <w:gridCol w:w="743"/>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710" w:type="dxa"/>
            <w:noWrap/>
            <w:vAlign w:val="center"/>
          </w:tcPr>
          <w:p>
            <w:pPr>
              <w:widowControl/>
              <w:snapToGrid w:val="0"/>
              <w:jc w:val="center"/>
              <w:rPr>
                <w:rFonts w:ascii="仿宋_GB2312" w:hAnsi="仿宋_GB2312" w:eastAsia="仿宋_GB2312" w:cs="仿宋_GB2312"/>
                <w:b/>
                <w:bCs/>
                <w:color w:val="000000" w:themeColor="text1"/>
                <w:kern w:val="0"/>
                <w:sz w:val="24"/>
                <w14:textFill>
                  <w14:solidFill>
                    <w14:schemeClr w14:val="tx1"/>
                  </w14:solidFill>
                </w14:textFill>
              </w:rPr>
            </w:pPr>
            <w:bookmarkStart w:id="121" w:name="_Hlk134089212"/>
            <w:r>
              <w:rPr>
                <w:rFonts w:hint="eastAsia" w:ascii="仿宋_GB2312" w:hAnsi="仿宋_GB2312" w:eastAsia="仿宋_GB2312" w:cs="仿宋_GB2312"/>
                <w:b/>
                <w:bCs/>
                <w:color w:val="000000" w:themeColor="text1"/>
                <w:kern w:val="0"/>
                <w:sz w:val="24"/>
                <w14:textFill>
                  <w14:solidFill>
                    <w14:schemeClr w14:val="tx1"/>
                  </w14:solidFill>
                </w14:textFill>
              </w:rPr>
              <w:t>序号</w:t>
            </w:r>
          </w:p>
        </w:tc>
        <w:tc>
          <w:tcPr>
            <w:tcW w:w="1460" w:type="dxa"/>
            <w:noWrap/>
            <w:vAlign w:val="center"/>
          </w:tcPr>
          <w:p>
            <w:pPr>
              <w:widowControl/>
              <w:snapToGrid w:val="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名称</w:t>
            </w:r>
          </w:p>
        </w:tc>
        <w:tc>
          <w:tcPr>
            <w:tcW w:w="5867" w:type="dxa"/>
            <w:noWrap/>
            <w:vAlign w:val="center"/>
          </w:tcPr>
          <w:p>
            <w:pPr>
              <w:widowControl/>
              <w:snapToGrid w:val="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工程量清单</w:t>
            </w:r>
          </w:p>
        </w:tc>
        <w:tc>
          <w:tcPr>
            <w:tcW w:w="743" w:type="dxa"/>
            <w:noWrap/>
            <w:vAlign w:val="center"/>
          </w:tcPr>
          <w:p>
            <w:pPr>
              <w:widowControl/>
              <w:snapToGrid w:val="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w:t>
            </w:r>
          </w:p>
        </w:tc>
        <w:tc>
          <w:tcPr>
            <w:tcW w:w="710" w:type="dxa"/>
            <w:noWrap/>
            <w:vAlign w:val="center"/>
          </w:tcPr>
          <w:p>
            <w:pPr>
              <w:widowControl/>
              <w:snapToGrid w:val="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490" w:type="dxa"/>
            <w:gridSpan w:val="5"/>
            <w:noWrap/>
            <w:vAlign w:val="center"/>
          </w:tcPr>
          <w:p>
            <w:pPr>
              <w:widowControl/>
              <w:snapToGrid w:val="0"/>
              <w:spacing w:line="360" w:lineRule="auto"/>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一、辽宁省城市运行管理服务平台应用系统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p>
        </w:tc>
        <w:tc>
          <w:tcPr>
            <w:tcW w:w="1460"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监督检查子系统</w:t>
            </w:r>
          </w:p>
        </w:tc>
        <w:tc>
          <w:tcPr>
            <w:tcW w:w="5867" w:type="dxa"/>
            <w:vAlign w:val="center"/>
          </w:tcPr>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监督检查系统应能够根据上级部门及省住房和城乡建设厅的相关工作部署，向市级平台布置工作任务，明确工作要求，规定完成时限，接收任务完成情况反馈，并对任务完成进度进行跟踪，及时对进度滞后、超期未完成的任务进行督办；同时，需要具备接收并按要求反馈国家平台派发的工作任务，定期向市级平台发布工作通报的功能。具体功能需求如下：</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1.1 监督检查首页</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对重点工作数量进行统计，对各单位的反馈情况进行统计分析，并查看最新下发工作的反馈情况。具体应包括：专项工作、接收单位统计、未报送单位、督办件、被督办单位统计、在线通报、地图联动展示。</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1.2 重点工作模块</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用于接收国家平台交办的工作任务和向国家平台反馈工作进展和落实情况；同时省级平台应可以通过重点工作模块向市级派发省级重点工作，提出工作要求和完成时限，应能够接收市级平台按规定反馈工作进展和落实情况，显示工作任务进度。</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具体应包括：指挥派遣、工作反馈、监督通报。</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1.3 联网监督模块</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联网监督模块应具备通过监测全省各市级平台的联网状态，及时发现市级平台出现的联网中断情况，提醒相关人员处理的功能；并应支持以单点登录方式访问各市级平台。</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具体应包括：各地平台建设情况、平台联网情况、数据对接情况、单点登录管理、数据对接登录管理。</w:t>
            </w:r>
          </w:p>
        </w:tc>
        <w:tc>
          <w:tcPr>
            <w:tcW w:w="743"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项</w:t>
            </w:r>
          </w:p>
        </w:tc>
        <w:tc>
          <w:tcPr>
            <w:tcW w:w="710"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atLeast"/>
        </w:trPr>
        <w:tc>
          <w:tcPr>
            <w:tcW w:w="710"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w:t>
            </w:r>
          </w:p>
        </w:tc>
        <w:tc>
          <w:tcPr>
            <w:tcW w:w="1460"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监测分析子系统</w:t>
            </w:r>
          </w:p>
        </w:tc>
        <w:tc>
          <w:tcPr>
            <w:tcW w:w="5867" w:type="dxa"/>
            <w:vAlign w:val="center"/>
          </w:tcPr>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监测分析系统应支持对全省市政设施、交通设施、房屋建筑、建筑工程、人员密集场所等安全监测预警和风险隐患排查整改情况进行分析和评估。通过汇聚和分析各地城市运行安全监测预警和风险隐患排查整改数据，及时掌握城市运行安全状况，分析评估城市运行风险，开展跟踪督办。</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2.1 风险隐患监测分析</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风险隐患监测分析应支持对城市生命线相关风险数据及其他风险相关信息等内容统一汇聚，结合人口密度、人均 GDP、重要防护目标等城市脆弱性信息，以及应急救援力量信息对城市进行风险评估，根据风险评估值对区域进行四色图渲染，以风险四色图的形式进行统一展示，综合反映城市的风险大小。</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具体应包括：风险隐患总览、行业隐患排行、隐患变化趋势、隐患地图联动、行业隐患统计、区域隐患统计、风险等级四色设置、隐患整改统计、风险概括详情、风险统计、风险评估。</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2.2 城市安全监测分析</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城市安全监测分析应能够向城市安全管理人员展示各行业领域（市政设施、房屋建筑、交通设施、人员密集区域等）及城市重大危险源隐患排查治理措施，投入运行的在线传感器数量、种类及监测范围，向用户展示当前城市基础设施的建设底数信息，使相关人员了解当前在城市基础设施重点管控领域信息化监管技术力量现状，找出信息化建设薄弱领域，完善安全监测技术应用，从而更好的实现“能监测、能预警、能处置”建设目标，提高城市安全精细化治理水平。</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具体应包括：基础设施统计、城市设施态势、风险指数态势、监测报警分析、预测预警分析、行业事件展示、风险总体概览。</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2.3 风险防控力量管理</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应支持对城市风险防控相关的人员、车辆、资料等进行管理。</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具体应包括：防控人员管理、防控车辆管理、专家资料库管理。</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2.4 风险防控资源管理</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应能够汇聚城市的风险防控的队伍、物资、装备等数据，实现风险防控资源的分布统计、展示，支撑重大城市运行安全事件发生时的调度决策。</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具体应包括：防控资源上报、防控资源检索、防控装备管理、避难场所管理、防控资源统计分析。</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2.5 预案管理</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风险防控预案管理应支持汇聚由各行业上报的风险防控预案数据，实现各类城市设备设施突发事件的预案统计、展示，支撑重大城市运行安全事件发生时的处置决策。</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具体应包括：预案类型管理、预案信息维护、预案信息查询、预案关联、预案统计分析。</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2.6 综合统计分析</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应支持通过综合统计分析，对平台运行情况提供良好的数据分析功能。</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具体应包括：风险统计分析、隐患统计分析、报警统计分析、预警统计分析。</w:t>
            </w:r>
          </w:p>
        </w:tc>
        <w:tc>
          <w:tcPr>
            <w:tcW w:w="743"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项</w:t>
            </w:r>
          </w:p>
        </w:tc>
        <w:tc>
          <w:tcPr>
            <w:tcW w:w="710"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710"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w:t>
            </w:r>
          </w:p>
        </w:tc>
        <w:tc>
          <w:tcPr>
            <w:tcW w:w="1460" w:type="dxa"/>
            <w:noWrap/>
            <w:vAlign w:val="center"/>
          </w:tcPr>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综合评价子系统</w:t>
            </w:r>
          </w:p>
        </w:tc>
        <w:tc>
          <w:tcPr>
            <w:tcW w:w="5867" w:type="dxa"/>
            <w:vAlign w:val="center"/>
          </w:tcPr>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综合评价系统需要满足城市综合管理服务评价工作要求，围绕“干净、整洁、有序、群众满意”和“市政设施安全、房屋建筑安全、交通设施安全、人员密集场所安全、群众获得感”等核心指标，对各城市开展综合评价工作。</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3.1 平台上报模块</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平台上报模块应支持用于评价主体向评价对象下发平台上报任务，应支持通过评价对象填报的形式，获取各类平台上报指标数据。</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应包括平台上报待填报栏、平台上报待审核栏、平台上报已审核栏、平台上报新增历史补录、平台上报已报送功能。</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3.2 实地考察模块</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实地考察模块应支持用于评价主体向第三方测评机构（或由评价主体组建的实地考察工作组）的实地考察人员下发实地考察任务，应支持通过实地考察人员随机抽样现场检查打分的形式，获取各类实地考察指标数据。具体功能包括：待实地考察任务栏、实地考察结果栏、实地考察APP。</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3.3 问卷调查模块</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问卷调查模块应支持用于对市民进行城市运行管理服务工作满意度调查，并对调查数据进行分析。具体应包括：线上问卷调查任务栏、线上问卷调查结果栏、问卷调查待填报栏、问卷调查待审核栏、问卷调查已审核栏、问卷调查结果汇总展示。</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3.4 自评价报告模块</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自评价报告模块应支持用于评价主体向评价对象下发城市自评价报告上传任务，应支持通过评价对象填报的形式，获取各地自评价报告数据。</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应包括自评价报告待填报栏、自评价报告待审核栏、自评价报告已审核栏功能。</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3.5 评价结果管理模块</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评价结果管理模块应支持根据收集到的评价数据，按规定的评价周期生成评价结果，应具备基于评价指标数据和评价任务完成情况，按规定的评价周期生成评价结果的功能，评价结果可采用文字、图表等可视化方式表达。</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具体功能应包括：评价结果统计、评价结果总览、专项评价排名。</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3.6 评价配置管理模块</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评价配置管理模块应支持对开展综合评价工作所需的评价指标、评价样本、评价对象、评价人员、评价周期、抽样规则、评价字典等进行配置管理。</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具体应包括：城市基础数据项管理 、评价指标管理、评价规则管理、评价样本管理、评价对象管理、评价人员管理、评价周期管理、抽样规则管理、评价字典管理。</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3.7 评价模型库</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评价模型库按照标准要求，应支持对运行和管理评价指标设定计算模型，实现指标的自动计算。具体应包括：干净指标模型、整洁指标模型、有序指标模型、群众满意度指标模型、市政设施安全指标模型、房屋建筑安全指标模型、交通设施安全指标模型、人员密集区域安全指标模型、群众获得感指标模型。</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3.8 自动采集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自动采集应能够通过接口实现综合评价指标数据的获取和管理，具体应包括：自动采集列表、自动采集查询、新增自动采集任务。</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3.9 GIS分析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GIS分析应够通过地图对各地市评价结果进行呈现，具体应包括：检查类指标列表、检查类指标查询、检查类指标详情。</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3.10 满意度调查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满意度调查应能够根据要求对市民满意度进行分析，具体应包括：满意度填报模块、满意度填报待审核栏、满意度已审核栏、满意度展示。</w:t>
            </w:r>
          </w:p>
        </w:tc>
        <w:tc>
          <w:tcPr>
            <w:tcW w:w="743"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项</w:t>
            </w:r>
          </w:p>
        </w:tc>
        <w:tc>
          <w:tcPr>
            <w:tcW w:w="710"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trPr>
        <w:tc>
          <w:tcPr>
            <w:tcW w:w="710"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4</w:t>
            </w:r>
          </w:p>
        </w:tc>
        <w:tc>
          <w:tcPr>
            <w:tcW w:w="1460" w:type="dxa"/>
            <w:noWrap/>
            <w:vAlign w:val="center"/>
          </w:tcPr>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决策建议子系统</w:t>
            </w:r>
          </w:p>
        </w:tc>
        <w:tc>
          <w:tcPr>
            <w:tcW w:w="5867" w:type="dxa"/>
            <w:vAlign w:val="center"/>
          </w:tcPr>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决策建议子系统对从多方汇聚或运行过程中产生的城市部件事件监管、市政公用设施管理、市容环卫管理、园林绿化管理、城市管理执法监督、重点工作任务处理反馈、综合评价等数据进行分析挖掘，生成相应的分析图表和建议，为城市管理部门开展管理服务，监督执法部门依法履职、依法办案提供数据支撑。</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4.1 城市管理基础数据专题</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应能够对城市管理工作相关的基础数据进行分析展示，具体应包括：城市管理基础数据查询、城市管理基础数据统计、城市管理基础数据综合展示。</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4.2 数字城管专题</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应支持根据各地市数字城管系统运行情况，进行数据整合分析，对案件闭环管理各环节进行统计分析。具体应包括：数字城管查询、数字城管统计、数字城管综合展示。</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4.3 市政公用专题</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应支持针对各地市市政公用领域所涉及的道路、桥梁、隧道等设施管理情况进行统计分析，具体应包括：市政公用查询、市政公用统计、市政公用综合展示。</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4.4 园林绿化专题</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应支持对各地市园林绿化领域所涉及的绿地、公园、树木等信息进行统计分析，具体应包括：园林绿化查询、园林绿化统计、园林绿化综合展示。</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4.5 市容环卫专题</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应支持对各地市市容环卫领域所涉及的人员、车辆、设施等信息进行统计分析，具体应包括：市容环卫查询、市容环卫统计、市容环卫综合展示。</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4.6 城管执法专题</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应支持对各地市城管执法领域所涉及的机构、人员、案件等信息进行统计分析，具体应包括：城管执法查询、城管执法统计、城管执法综合展示。</w:t>
            </w:r>
          </w:p>
        </w:tc>
        <w:tc>
          <w:tcPr>
            <w:tcW w:w="743"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项</w:t>
            </w:r>
          </w:p>
        </w:tc>
        <w:tc>
          <w:tcPr>
            <w:tcW w:w="710"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710"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5</w:t>
            </w:r>
          </w:p>
        </w:tc>
        <w:tc>
          <w:tcPr>
            <w:tcW w:w="1460" w:type="dxa"/>
            <w:noWrap/>
            <w:vAlign w:val="center"/>
          </w:tcPr>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老旧小区改造台账填报子系统</w:t>
            </w:r>
          </w:p>
        </w:tc>
        <w:tc>
          <w:tcPr>
            <w:tcW w:w="5867" w:type="dxa"/>
            <w:vAlign w:val="center"/>
          </w:tcPr>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老旧小区改造台账填报系统旨在指导各地有序有效开展城镇老旧小区改造统计工作，及时了解新开工改造城镇老旧小区数量等指标，全面掌握改造小区情况及加装电梯、改造建设养老托育等服务设施的计划和改造情况，为各级政府制定政策和宏观管理提供依据。</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5.1 计划管理</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应能够供各地市、区（县、市）进行年度改造计划任务填报工作，可在线录入信息，上传至上级平台进行审核，省级平台可通过该功能汇总各单位改造计划。</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5.2 计划填报</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能够供省、市、区（县、市）级主管部门使用，用于填报汇集城镇老旧小区改造统计调查信息，并根据实际变化情况动态更新，形成辽宁省全国城镇老旧小区改造统计调查汇总信息表，按照住房和城乡建设部要求定期导出制式统计报表上报。</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应包括全国城镇老旧小区改造年度计划情况表填报、全国城镇老旧小区改造项目基本情况表填报、全国城镇老旧小区改造进展情况表填报、全国城镇老旧小区改造效果情况表填报。</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5.3 批量导入</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供市、区（县、市）级主管部门使用，应支持用于在填报时使用系统提供的电子表格数据导入模板，应支持直接将需要填报的数据批量导入系统完成填报。</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具体功能应包括模板下载、数据导入。四类表格模板需符合《全国城镇老旧小区改造统计调查制度电子表格版》。</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5.4 数据审核</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供省级平台和市级主管部门使用，应支持用于对下级主管部门填报的信息进行审核。应支持对于审核通过的信息进行归档，后期汇总，对于审核不通过的信息进行回退处理，并要求下级主管部门修正后重新报送。</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应包括：上报列表、台账详情、审核回退、回退列表、填报统计。</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5.5 填报配置</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供省级平台管理员使用，应支持对各类数据填报权限、填报周期、主管部门、填报人员等进行配置。</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应支持通过该模块配置老旧小区改造指标，包括管网、垃圾分类、光纤入户、建筑节能等指标。</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5.6 老旧小区基础信息管理</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供市、区（县、市）用户使用，应支持各级用户通过该模块录入本辖区老旧小区的基础信息，包括小区名称、属地情况、实际级别、楼栋数、居住人口数、投资计划等。</w:t>
            </w:r>
          </w:p>
        </w:tc>
        <w:tc>
          <w:tcPr>
            <w:tcW w:w="743"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项</w:t>
            </w:r>
          </w:p>
        </w:tc>
        <w:tc>
          <w:tcPr>
            <w:tcW w:w="710"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10"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6</w:t>
            </w:r>
          </w:p>
        </w:tc>
        <w:tc>
          <w:tcPr>
            <w:tcW w:w="1460" w:type="dxa"/>
            <w:noWrap/>
            <w:vAlign w:val="center"/>
          </w:tcPr>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建筑节能子系统</w:t>
            </w:r>
          </w:p>
        </w:tc>
        <w:tc>
          <w:tcPr>
            <w:tcW w:w="5867" w:type="dxa"/>
            <w:vAlign w:val="center"/>
          </w:tcPr>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公共建筑能耗相关信息来源于不同的部门，不同的业务系统，数据横向和垂直上报、共享，各区域提供数据格式、共享范围、时效性、保密度千差万别，数据互不关联，造成了数据脉络、数据质量参差不齐，急需建设统一的建筑能耗排放管理平台实现资源的集中管理。提升全流程的标准化贯彻执行力度，提升数据全生命过程的任务调度和监控能力，提供智能化、配置化的度量规则和校验方法生成能力，提供统一数据追溯能力，提供数据资产的统计分析能力。</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6.1 能耗在线监测</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应支持通过数据对接及企业上报的方式获取能耗信息，对其进行总量和强度监测以及趋势预测。具体应包括：能耗总量监测、能耗强度监测、重点用能单位能耗监测，能源使用趋势预测、能耗地图。</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6.2 双控目标管理</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应支持通过对能源消费强度和总量目标制定及发布，对目标进行进程监控，通过科学分析预测目标达成情况，同时对目标的完成情况进行全面展示。采用身份校验与验证技术对所有请求统一拦截并校验；通过权限分析技术分析决定用户与操作的对应功能是否有执行权限。具体应包括：双控目标制定、双控目标发布、目标进程监控、目标分析预测、目标完成情况展示。</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6.3 用能预算管理</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应支持通过设置区域能耗预算范围进行指标分解，同时对预算任务进行管理及额度监管，系统通过用能预算情况进行同环比分析及相关的预警工作。具体应包括：能耗预算范围管理、用能预算指标分解、用能预算任务管理、用能预算额度监控、用能预算同环比分析、能源消费总量预警。</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6.4 企业智能分析</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应支持通过平台综合展示以及数据分析研判进行企业智能推荐。具体应包括：企业信息管理、企业综合信息展示、同行业企业比对分析。</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6.5 综合档案管理</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应支持对平台所有档案文件进行整体管理，支持谷歌及360极速等主流浏览器，利用前后端分离以及分布式存储的开发设计理念，前端页面负责信息展示，适配手机移动端页面样式；后端负责数据信息交互及存储，建立与微信后台信息交互，同时，支持移动端与PC端数据联动维护。具体应包括：档案分类、文件上传、文件检索、文件归档。</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6.6 节能技术推广服务</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支持由运维端进行统一运维，平台提供企业节能技改方案推广服务，应包括首页热门推荐、新能源产品版块。平台整体界面应以主流商城形式展现，采用轮播图、卡片、瀑布流、方案列表等多种展现形式突出产品的特征与优势，便于用户清晰了解产品分类，明晰目标，精准定位，当分类不满足用户需求时，可通过搜索方式查找。同时，平台将根据当前热点为用户推荐热门产品及技术，促进能源节约集约使用，提高能源资源开发利用效率和效益。</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6.7 企业信息报送</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应支持在区企业可注册后通过该功能进行能源数据填报，未在区企业可先进行入区信息填报提交，政府同意入区后可进行能源信息填报，为政府采集企业能源数据提供多种方式支撑。具体应包括：企业注册登录、企业基础信息管理、企业能源信息报送、企业入区信息报送、企业系统管理。</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6.8 系统管理</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应支持整体系统的账户、角色、权限、字典等进行编辑与维护。具体应包括：基础信息管理、角色管理、字典管理、日志管理、接口管理、任务管理、企业账号管理。</w:t>
            </w:r>
          </w:p>
        </w:tc>
        <w:tc>
          <w:tcPr>
            <w:tcW w:w="743"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项</w:t>
            </w:r>
          </w:p>
        </w:tc>
        <w:tc>
          <w:tcPr>
            <w:tcW w:w="710"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10"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7</w:t>
            </w:r>
          </w:p>
        </w:tc>
        <w:tc>
          <w:tcPr>
            <w:tcW w:w="1460" w:type="dxa"/>
            <w:noWrap/>
            <w:vAlign w:val="center"/>
          </w:tcPr>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应用维护子系统</w:t>
            </w:r>
          </w:p>
        </w:tc>
        <w:tc>
          <w:tcPr>
            <w:tcW w:w="5867" w:type="dxa"/>
            <w:vAlign w:val="center"/>
          </w:tcPr>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应用维护系统应能够快速搭建业务，定制业务工作流程，设置组织机构，并应支持对工作表单内容样式调整、业务流程修改、人员权限变动、系统数据备份等日常维护工作。应支持系统管理人员调整系统使之适应用户需要，并应能够在使用中不断地变更系统配置，无须软件开发者的干预，充分赋予了用户自维护、自发展、自适应的能力。</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7.1 登录设置</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应能够对平台登录相关界面和功能进行后台配置，具体应包括：系统登录配置、登录页面配置。</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7.2 机构设置</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应能够对平台运行使用涉及的部门、岗位、人员等进行架构和权限设置，具体应包括：部门设置、岗位设置、人员设置、角色配置、查看人员权限。</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7.3 业务设置</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应能够针对平台运行各项业务进行相关功能后台配置，提高业务运行效率，具体应包括：公用字段配置、惯用语设置。</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7.4 布局设置</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应能够对系统页面的布局进行后台配置，满足不同用户的使用习惯和需求，具体应包括：导航栏设置、栏目定义。</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7.5 系统配置</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应能够对平台运行涉及到的流程、系统结构进行调整，具体应包括：主系统配置、子系统定义。</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7.6 日志管理</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应能够统计系统使用情况，形成系统运行相关日志进行查看，具体应包括：操作日志管理、登录日志管理。</w:t>
            </w:r>
          </w:p>
        </w:tc>
        <w:tc>
          <w:tcPr>
            <w:tcW w:w="743"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项</w:t>
            </w:r>
          </w:p>
        </w:tc>
        <w:tc>
          <w:tcPr>
            <w:tcW w:w="710"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710"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8</w:t>
            </w:r>
          </w:p>
        </w:tc>
        <w:tc>
          <w:tcPr>
            <w:tcW w:w="1460" w:type="dxa"/>
            <w:noWrap/>
            <w:vAlign w:val="center"/>
          </w:tcPr>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数据接口设计</w:t>
            </w:r>
          </w:p>
        </w:tc>
        <w:tc>
          <w:tcPr>
            <w:tcW w:w="5867" w:type="dxa"/>
            <w:vAlign w:val="center"/>
          </w:tcPr>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按照《城市运行管理服务平台技术标准》及《城市运行管理服务平台数据标准》，深入调研各地市已建信息化系统现状，制定省级平台统一数据接口标准，通过webservice或数据推送等方式，接入各地市城市管理基础数据、行业应用数据以及监测分析数据等，并将接入的数据进行统一清洗、融合、发布，满足平台使用的要求。</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8.1城市管理基础信息接口</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应根据城市管理基础数据库建设需求，部署城市管理基础数据交换接口，实现国家、省、市三级平台城市管理基础数据的交换共享，省级平台技术支撑单位配合地市各技术单位进行接口规范的梳理和接口联调，数据交换时同步进行数据治理，包括数据清洗、比对、去重、转换等。</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8.2 重点工作接口</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对接国家平台布置的重点工作任务及处理结果反馈信息，开发省级平台对地市重点工作的接收和下发接口，包括向下级平台布置的工作任务的基本信息、下级平台反馈的工作信息等。省级平台技术支撑单位配合地市各技术单位进行接口规范的梳理和接口联调，数据交换时同步进行数据治理，包括数据清洗、比对、去重、转换等。</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8.3 综合评价接口</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开发省级平台对地市综合评价数据的接收和下发接口，对接市级平台获取城市运行管理服务评价工作所需的围绕“干净、整洁、有序、群众满意”和“市政设施、房屋建筑、交通设施、人员密集区域、群众获得感”的评价指标数据、评价过程数据和评价结果数据等。省级平台技术支撑单位配合地市各技术单位进行接口规范的梳理和接口联调，数据交换时同步进行数据治理，包括数据清洗、比对、去重、转换等。</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8.4 数字城管接口</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开发省级平台对地市数字城管系统数据的接收接口，对接下辖14个地市数字城管平台数据，包括：城市管理体制机制相关数据、城市管理案件数据、城市部件管理数据、机构数据等数据。通过对接过程中，省级平台技术支撑单位配合地市各技术单位进行接口规范的梳理和接口联调，数据交换时同步进行数据治理，包括数据清洗、比对、去重、转换等。</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8.5 市政公用接口</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开发省级平台对地市市政公用相关系统数据的接收接口，对接获取14个市级平台的城市市政公用数据，主要是对本省市政公用设施的总体情况进行对接，包括市政道路数据、市政桥梁数据、市政隧道数据、市政设施图层数据、市政排水设施数据、市政公用设施案件数据等内容。对于未建市政公用专项应用的城市，预留接口，待后续建成后进行对接。省级平台技术支撑单位配合地市各技术单位进行接口规范的梳理和接口联调，数据交换时同步进行数据治理，包括数据清洗、比对、去重、转换等。</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8.6 园林绿化接口</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应开发省级平台对地市园林绿化相关系统数据的接收接口，对接获取14个市级平台的城市园林绿化数据包括绿地、公园等基础数据和运行维护数据。根据省厅日常工作，以及关注要点，汇聚分析展示全省国家园林城市、省级园林城市（县）、绿化覆盖率、绿地率、人均绿地面积、人均公园面积等指标，反映全省绿地、公园、绿化工程等全局概况，辅助城市园林绿化选址及决策分析。对于未建园林绿化专项应用的城市，预留接口，待后续建成后进行对接。省级平台技术支撑单位配合地市各技术单位进行接口规范的梳理和接口联调，数据交换时同步进行数据治理，包括数据清洗、比对、去重、转换等。</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8.7 市容环卫接口</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开发省级平台对地市市容环卫相关系统数据的接收接口，对接获取14个市级平台的城市市容环卫数据包括人、车、设施等基础数据和运行维护数据。监管环卫各项业务的运行情况，根据系统提供的数据分析报表，为用户提供实时的全省范围环卫管理运行状态，方便用户及时进行指挥调度和紧急事件处理。对于未建市容环卫专项应用的城市，预留接口，待后续建成后进行对接。省级平台技术支撑单位配合地市各技术单位进行接口规范的梳理和接口联调，数据交换时同步进行数据治理，包括数据清洗、比对、去重、转换等。</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8.8 城管执法接口</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开发省级平台对地市城管执法系统数据的接收接口，对接获取14个市级平台的城市管理执法数据包括执法机构、执法人员、执法案件和执法案由等数据。集成综合执法应用相关业务系统内各种功能与信息，掌握城市运行执法各类实时动态信息与业务管理资源，展示执法队伍、执法人员等相关信息，显示在线执法人员，可查看轨迹数据，统计案卷数量，显示案卷定位及详细信息，统计各地市执法队伍运行案卷数量并展示详细信息。对于未建城管执法专项应用的城市，预留接口，待后续建成后进行对接。省级平台技术支撑单位配合地市各技术单位进行接口规范的梳理和接口联调，数据交换时同步进行数据治理，包括数据清洗、比对、去重、转换等。</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8.9 运行监测风险隐患统计数据接口</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开发省级平台对地市运行监测风险隐患统计数据的接收接口，根据下属14个地市运行监测风险隐患信息排查建设实际情况，对接获取各地市城市运行监测风险隐患统计数据，具体内容包括标识码、所属省份、城市名称、行政区划、统计月份、风险隐患大类、风险隐患细类、风险隐患三级类别、风险隐患等级、风险隐患评分、当月风险隐患个数、风险隐患分析报告等信息项。省级平台技术支撑单位配合地市各技术单位进行接口规范的梳理和接口联调，数据交换时同步进行数据治理，包括数据清洗、比对、去重、转换等。</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8.10 各地市运行监测风险隐患详情数据接口</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开发省级平台对地市运行监测风险隐患详情数据的接收接口，根据下属14个地市运行监测风险隐患信息排查建设实际情况，对接获取各地市城市运行监测风险隐患详情数据，具体对接内容包括标识码、所属省份、城市名称、行政区划、风险隐患上报日期、风险隐患大类、风险隐患细类、风险隐患三级类别、风险隐患名称、风险隐患地址、风险隐患点位经度、风险隐患点位纬度、风险隐患描述、风险隐患现场文件、风险隐患等级、上报人、上报人联系方式、风险隐患状态、风险隐患处置单位、风险隐患受理时间、风险隐患处置负责人、风险隐患处置简述、风险隐患处置报告、风险隐患处置完成时间等信息项。省级平台技术支撑单位配合地市各技术单位进行接口规范的梳理和接口联调，数据交换时同步进行数据治理，包括数据清洗、比对、去重、转换等。</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8.11 运行监测危险源数据接口</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开发省级平台对地市运行监测危险源数据的接收接口，根据下属14个地市运行监测风险隐患信息排查建设实际情况，对接获取各地市城市运行监测危险源数据，具体对接内容包括标识码、所属省份、城市名称、行政区划、危险源代码、危险源大类、危险源细类、危险源名称、危险源地址、危险源经度、危险源纬度、危险源描述、危险源密级、危险等级、主管单位、主管单位地址、主管单位负责人、危险源影响面积、设计使用年限、投入使用时间、影响范围、危险级别、可能灾害形式、数据收集时间、数据收集人、收集人联系方式等信息项。省级平台技术支撑单位配合地市各技术单位进行接口规范的梳理和接口联调，数据交换时同步进行数据治理，包括数据清洗、比对、去重、转换等。</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8.12 运行监测预警统计数据接口</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开发省级平台对地市运行监测预警统计数据的接收接口，根据下属14个地市运行监测预警建设实际情况，对接获取各地市城市运行监测预警数据，具体对接内容包括标识码、预警细类、预警等级、统计评分、当月预警个数、预警分析报告等信息项。省级平台技术支撑单位配合地市各技术单位进行接口规范的梳理和接口联调，数据交换时同步进行数据治理，包括数据清洗、比对、去重、转换等。</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8.13 各地市运行监测预警明细数据接口</w:t>
            </w:r>
          </w:p>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应开发省级平台对地市运行监测预警明细数据的接收接口，根据下属14个地市运行监测预警建设实际情况，对接获取各地市城市运行监测预警明细数据，具体对接内容包括标识码、所属省份、城市名称、行政区划、标准地址、预警编号、预警名称、所属专项、预警类型、预警级别、预警状态、预警时间、预警上报时间、预警内容、预警报告、研判分析、分析报告、处置状态、处置人、处置时间、处置建议、处置报告等信息项。省级平台技术支撑单位配合地市各技术单位进行接口规范的梳理和接口联调，数据交换时同步进行数据治理，包括数据清洗、比对、去重、转换等。</w:t>
            </w:r>
          </w:p>
        </w:tc>
        <w:tc>
          <w:tcPr>
            <w:tcW w:w="743"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项</w:t>
            </w:r>
          </w:p>
        </w:tc>
        <w:tc>
          <w:tcPr>
            <w:tcW w:w="710"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90" w:type="dxa"/>
            <w:gridSpan w:val="5"/>
            <w:noWrap/>
            <w:vAlign w:val="center"/>
          </w:tcPr>
          <w:p>
            <w:pPr>
              <w:widowControl/>
              <w:snapToGrid w:val="0"/>
              <w:spacing w:line="360" w:lineRule="auto"/>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二、辽宁省城市运行管理服务平台信息资源库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0" w:hRule="atLeast"/>
        </w:trPr>
        <w:tc>
          <w:tcPr>
            <w:tcW w:w="710"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p>
        </w:tc>
        <w:tc>
          <w:tcPr>
            <w:tcW w:w="1460" w:type="dxa"/>
            <w:noWrap/>
            <w:vAlign w:val="center"/>
          </w:tcPr>
          <w:p>
            <w:pPr>
              <w:widowControl/>
              <w:snapToGrid w:val="0"/>
              <w:spacing w:line="360" w:lineRule="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辽宁省城市运行管理服务平台信息资源库</w:t>
            </w:r>
          </w:p>
        </w:tc>
        <w:tc>
          <w:tcPr>
            <w:tcW w:w="5867" w:type="dxa"/>
            <w:vAlign w:val="center"/>
          </w:tcPr>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依托各市、各部门汇聚的城市管理领域相关数据，根据省级平台监管需要，建设业务指导专题数据库、监督检查专题数据库、城市管理基础数据库、综合评价专题数据库、数字城管专题数据库、市政公用专题数据库、市容环卫专题数据库、园林绿化专题数据库、城管执法专题数据库和监测分析专题库、建筑节能专题数据库、老旧小区改造专题数据库共12个专题数据库，形成辽宁省综合性城市管理数据库。</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1.1 业务指导专题库</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应通过对接国家平台的业务指导数据获取，经数据汇聚系统核验、融合、编目后，形成业务指导专题数据库。</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具体应包括：政策法规子库。</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1.2 监督检查专题库</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应通过数据交换系统中的重点工作接口对接国家平台布置的重点工作任务及处理结果反馈信息获取，经数据汇聚系统核验、融合、编目后，形成监督检查专题数据库，主要数据包括向下级平台布置的工作任务的基本信息、下级平台反馈的工作信息等。</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具体应包括：重点工作数据子库、重点工作操作记录数据子库、巡查发现数据子库。</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1.3 城市管理基础库</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应通过数据交换系统中的城市管理基础数据接口从国家平台、市级平台获取，经数据汇聚系统核验、融合、编目后，形成城市管理基础数据库，包括城市管理基础（统计）数据、组织机构数据等。</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具体应包括：地理空间数据子库、城市基础（统计）数据子库、组织机构数据子库、视频监控数据子库、行业动态数据子库、经验交流数据子库。</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1.4 综合评价专题库</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应通过数据交换系统中的综合评价数据接口从国家平台、市级平台获取，经数据汇聚系统核验、融合、编目后，形成综合评价数据库。</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具体应包括：分析评价数据子库、评价指标数据子库、评价周期数据子库、评价任务数据子库、评价人员数据子库、评价机构数据子库、评价结果明细数据子库、综合评价成绩数据子库、评价结果发布数据子库、评价审核记录数据子库、评价过程记录数据子库、自评价数据子库。</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1.5 数字城管专题库</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应通过数据交换系统中的数字城管数据接口从市级平台获取，经数据汇聚系统核验、融合、编目后，形成数字城管数据库。</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具体应包括：部件事件监管问题数据子库、案件状态更新数据子库、部件统计数据子库、人员统计数据子库。</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1.6 市政公用专题库</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应通过数据交换系统中的市政公用设施管理数据接口从市级平台获取，经数据汇聚系统核验、融合、编目后，形成市政公用设施管理数据库。</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具体应包括：道路数据子库、桥隧数据子、库排水设施数据子库、排水管网数据子库、路灯数据子库、景观灯数据子库、供水设施数据子库、供气设施数据子库、供热设施数据子库。</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1.7 市容环卫专题库</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应通过数据交换系统中的市容环卫管理数据接口从市级平台获取，经数据汇聚系统核验、融合、编目后，形成市容环卫管理数据库。</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具体应包括：环卫人员数据子库、环卫车辆数据子库、环卫路段数据子库、环卫车辆作业数据子库、环卫路段作业数据子库、垃圾计量称重数据子库、生活垃圾收集站（点）数据子库、垃圾中转站数据子库、生活垃圾处理（置）厂（场）数据子库、厨余垃圾处理厂数据子库、建筑垃圾消纳场数据子库、粪便无害化处理厂（场）数据子库、公共厕所数据子库。</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1.8 园林绿化专题库</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通过数据交换系统中的园林绿化管理数据接口从市级平台获取，经数据汇聚系统核验、融合、编目后，形成园林绿化管理数据库。园林绿化管理数据包括公园用地数据、绿地数据、城市公园信息、园林绿化地养护作业数据等。</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具体应包括：公园用地数据子库、公园绿地数据子库、防护绿地数据子库、广场绿地数据子库、附属绿地数据子库、区域绿地数据子库、古树名木数据子库、园林绿地养护作业数据子库、生态园林城市指标数据子库。</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1.9 城管执法专题库</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通过数据交换系统中的城市管理执法数据接口从市级平台获取，经数据汇聚系统核验、融合、编目后，形成城市管理执法数据库。城市管理执法数据包括执法机构、执法队伍、执法人员统计、执法办案统计月报等数据。</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具体应包括：执法机构数据子库、执法人员数据子库、执法车辆数据子库、执法案由数据子库、执法案件数据子库。</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1.10 监测分析专题库</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应通过数据交换系统中的相关接口从市级平台获取，经数据汇聚系统核验、融合、编目后，形成监测分析专题数据库。主要包括风险隐患统计数据、风险隐患详情数据、危险源数据、预警统计数据、预警明细数据等。</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具体应包括：风险隐患统计数据子库、风险隐患详情数据子库、危险源数据子库、预警统计数据子库、预警明细数据子库、预案数据子库。</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1.11 建筑节能专题库</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建筑节能数据主要来自建筑节能系统中产生的数据，应经数据汇聚系统核验、融合、编目后，形成建筑节能专题数据库，主要数据包括能源总量数据、能源强度数据，能源监测消耗数据等。</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1.12 老旧小区改造专题库</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老旧小区改造数据主要来自老旧小区改造台账填报系统中产生的数据，应经数据汇聚系统核验、融合、编目后，形成老旧小区改造专题数据库，主要数据包括老旧小区基础信息、改造计划、改造效果、统计数据等。</w:t>
            </w:r>
          </w:p>
          <w:p>
            <w:pPr>
              <w:widowControl/>
              <w:snapToGrid w:val="0"/>
              <w:spacing w:line="360" w:lineRule="auto"/>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具体应包括：老旧小区改造年度计划数据子库、老旧小区改造进展数据子库、老旧小区改造效果数据子库。</w:t>
            </w:r>
          </w:p>
        </w:tc>
        <w:tc>
          <w:tcPr>
            <w:tcW w:w="743"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项</w:t>
            </w:r>
          </w:p>
        </w:tc>
        <w:tc>
          <w:tcPr>
            <w:tcW w:w="710" w:type="dxa"/>
            <w:noWrap/>
            <w:vAlign w:val="center"/>
          </w:tcPr>
          <w:p>
            <w:pPr>
              <w:widowControl/>
              <w:snapToGrid w:val="0"/>
              <w:spacing w:line="360" w:lineRule="auto"/>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p>
        </w:tc>
      </w:tr>
      <w:bookmarkEnd w:id="121"/>
    </w:tbl>
    <w:p>
      <w:pPr>
        <w:snapToGrid w:val="0"/>
        <w:spacing w:before="319" w:beforeLines="100"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br w:type="page"/>
      </w:r>
    </w:p>
    <w:p>
      <w:pPr>
        <w:pStyle w:val="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信息工程监理和密码应用安全性评估（004包）</w:t>
      </w:r>
    </w:p>
    <w:p>
      <w:pPr>
        <w:snapToGrid w:val="0"/>
        <w:spacing w:line="360" w:lineRule="auto"/>
        <w:ind w:firstLine="480" w:firstLineChars="20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根据辽宁省住房和城乡建设厅一体化服务平台建设项目的建设内容，依据GB/T19668 信息技术服务监理 第1部分：总则、第2部分:基础设施工程监理规范、第3部分 数据中心工程监理规范、第4部分 运行维护监理规范、第5部分 软件工程监理规范、第6部分 信息安全监理规范，对本项目系统支撑软件购置、硬件购置及基础环境建设（CIM平台展示中心）、应用系统整合融合、智慧应用系统建设、统一应用支撑平台建设、辽宁省城市信息模型（CIM）基础平台建设、住建一体化数据中台建设的建设过程进行监理控制，开展包括：质量、进度、投资、合同、文档资料等方面监督、管理、审核等工作，通过监理工作确保项目建设全程合规、透明、可控。投标人自行或委托具备商用密码测评服务能力的测评机构，对建设完成的系统进行测评。</w:t>
      </w:r>
    </w:p>
    <w:p>
      <w:pPr>
        <w:snapToGrid w:val="0"/>
        <w:spacing w:line="360" w:lineRule="auto"/>
        <w:ind w:firstLine="480" w:firstLineChars="200"/>
        <w:jc w:val="left"/>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一、实施阶段</w:t>
      </w:r>
    </w:p>
    <w:p>
      <w:pPr>
        <w:snapToGrid w:val="0"/>
        <w:spacing w:line="360" w:lineRule="auto"/>
        <w:ind w:firstLine="480" w:firstLineChars="20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通过监理手段确保项目中所使用的产品和服务符合施工合同及国家相关法律、法规和标准；明确项目实施计划，对于计划的调整应合理、受控；确保项目实施过程满足施工合同的要求，并与项目设计方案、项目计划相符。对软件工程几个开发阶段如分析、设计、实施、测试等实施全过程监理，通过监理公司的管理体系和现代化管理手段，对项目建设进行整体管理控制。</w:t>
      </w:r>
    </w:p>
    <w:p>
      <w:pPr>
        <w:numPr>
          <w:ilvl w:val="0"/>
          <w:numId w:val="7"/>
        </w:numPr>
        <w:snapToGrid w:val="0"/>
        <w:spacing w:line="360" w:lineRule="auto"/>
        <w:ind w:firstLine="480" w:firstLineChars="200"/>
        <w:jc w:val="left"/>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软件需求确认。</w:t>
      </w:r>
    </w:p>
    <w:p>
      <w:pPr>
        <w:snapToGrid w:val="0"/>
        <w:spacing w:line="360" w:lineRule="auto"/>
        <w:ind w:firstLine="480" w:firstLineChars="20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监理人员应认真分析采购人的需求报告、承建单位的需求分析报告、概要设计、详细设计等标识软件生命周期各阶段的文档，实现对工程项目的充分理解和把握。对于网络安全等级基本要求中对于应用安全部分的内容进行评审。监理人员应对这些文档所述内容的咨询、建议应通过监理意见书的形式提交与采购人和承建单位。</w:t>
      </w:r>
    </w:p>
    <w:p>
      <w:pPr>
        <w:numPr>
          <w:ilvl w:val="0"/>
          <w:numId w:val="7"/>
        </w:numPr>
        <w:snapToGrid w:val="0"/>
        <w:spacing w:line="360" w:lineRule="auto"/>
        <w:ind w:firstLine="480" w:firstLineChars="200"/>
        <w:jc w:val="left"/>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软件开发计划的审核和确认。</w:t>
      </w:r>
    </w:p>
    <w:p>
      <w:pPr>
        <w:snapToGrid w:val="0"/>
        <w:spacing w:line="360" w:lineRule="auto"/>
        <w:ind w:firstLine="480" w:firstLineChars="20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对软件开发的需求分析、概要设计、详细设计、编码测试、应用测试等每个开发阶段进行把关，使影响系统质量的要素在开发过程中处于受控状态；对于过程中存在的需求变更，评估软件功能的改动范围和软件造价的影响，出具监理评审意见。</w:t>
      </w:r>
    </w:p>
    <w:p>
      <w:pPr>
        <w:snapToGrid w:val="0"/>
        <w:spacing w:line="360" w:lineRule="auto"/>
        <w:ind w:firstLine="480" w:firstLineChars="200"/>
        <w:jc w:val="left"/>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现场监理项目组要求：</w:t>
      </w:r>
    </w:p>
    <w:p>
      <w:pPr>
        <w:snapToGrid w:val="0"/>
        <w:spacing w:line="360" w:lineRule="auto"/>
        <w:ind w:firstLine="480" w:firstLineChars="20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r>
        <w:rPr>
          <w:rFonts w:ascii="仿宋_GB2312" w:hAnsi="仿宋_GB2312" w:eastAsia="仿宋_GB2312" w:cs="仿宋_GB2312"/>
          <w:color w:val="000000" w:themeColor="text1"/>
          <w:sz w:val="24"/>
          <w14:textFill>
            <w14:solidFill>
              <w14:schemeClr w14:val="tx1"/>
            </w14:solidFill>
          </w14:textFill>
        </w:rPr>
        <w:t>配置总监理工程师1人，熟悉软件开发项目建设和网络安全要求，具备项目管理能力；配置的专业监理工程师至少包括软件监理工程师、软件测试监理工程师、安全监理工程师、软件造价监理工程师等。</w:t>
      </w:r>
    </w:p>
    <w:p>
      <w:pPr>
        <w:snapToGrid w:val="0"/>
        <w:spacing w:line="360" w:lineRule="auto"/>
        <w:ind w:firstLine="480" w:firstLineChars="200"/>
        <w:jc w:val="left"/>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2.监理过程相关的设施和设备由投标人自行提供，包含在总价中，采购人不在另行支付。</w:t>
      </w:r>
    </w:p>
    <w:p>
      <w:pPr>
        <w:snapToGrid w:val="0"/>
        <w:spacing w:line="360" w:lineRule="auto"/>
        <w:ind w:firstLine="480" w:firstLineChars="200"/>
        <w:jc w:val="left"/>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二、验收阶段</w:t>
      </w:r>
    </w:p>
    <w:p>
      <w:pPr>
        <w:snapToGrid w:val="0"/>
        <w:spacing w:line="360" w:lineRule="auto"/>
        <w:ind w:firstLine="480" w:firstLineChars="20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组织项目验收，评审项目测试验收方案的符合性及可行性；确保项目的最终功能和性能符合施工合同、法律、法规和标准的要求；采用必要的监理测试手段和工具，验证软件开发完成质量；推动承建单位所提供的项目各阶段形成的技术、管理文档的内容和种类符合相关标准。</w:t>
      </w:r>
    </w:p>
    <w:p>
      <w:pPr>
        <w:numPr>
          <w:ilvl w:val="0"/>
          <w:numId w:val="8"/>
        </w:numPr>
        <w:snapToGrid w:val="0"/>
        <w:spacing w:line="360" w:lineRule="auto"/>
        <w:ind w:firstLine="480" w:firstLineChars="20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负责监督并审核承建单位提交的竣工方案、工程量清单、竣工图纸、培训文档、售后服务承诺等竣工资料；</w:t>
      </w:r>
    </w:p>
    <w:p>
      <w:pPr>
        <w:snapToGrid w:val="0"/>
        <w:spacing w:line="360" w:lineRule="auto"/>
        <w:ind w:firstLine="480" w:firstLineChars="20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（二）负责整理记录归档采购人与承建单位来往的文件、合同、协议及会议记录等各种文档，出具监理文件；</w:t>
      </w:r>
    </w:p>
    <w:p>
      <w:pPr>
        <w:snapToGrid w:val="0"/>
        <w:spacing w:line="360" w:lineRule="auto"/>
        <w:ind w:firstLine="480" w:firstLineChars="20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（三）配合采购人组织项目合同验收，办理工程款支付及工程移交工作；</w:t>
      </w:r>
    </w:p>
    <w:p>
      <w:pPr>
        <w:snapToGrid w:val="0"/>
        <w:spacing w:line="360" w:lineRule="auto"/>
        <w:ind w:firstLine="480" w:firstLineChars="20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（四）形成完整的工程档案资料，配合做好项目资金审计和结算工作。</w:t>
      </w:r>
    </w:p>
    <w:p>
      <w:pPr>
        <w:snapToGrid w:val="0"/>
        <w:spacing w:line="360" w:lineRule="auto"/>
        <w:ind w:firstLine="480" w:firstLineChars="200"/>
        <w:jc w:val="left"/>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 xml:space="preserve"> 三、商用密码测评</w:t>
      </w:r>
    </w:p>
    <w:p>
      <w:pPr>
        <w:snapToGrid w:val="0"/>
        <w:spacing w:line="360" w:lineRule="auto"/>
        <w:ind w:firstLine="480" w:firstLineChars="200"/>
        <w:jc w:val="left"/>
        <w:rPr>
          <w:color w:val="000000" w:themeColor="text1"/>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结合辽宁省政务云的实际、系统的网络安全保护等级、GM/T 0054—2018《信息系统密码应用基本要求》、《商用密码应用安全性评估管理办法（试行）》、《信息系统密码测评要求（试行）》《商用密码应用安全性评估测评过程指南（试行）》《商用密码应用安全性评估测评作业指导书（试行）》等标准规范、指导性文件及管理要求，从总体要求、物理和环境安全、网络和通信安全、设备和计算安全、应用和数据安全、密钥管理、安全管理等方面开展评估，根据政务信息系统当前的安全状况，给出评估结果（《密码应用安全评估报告》）并提出有针对性的整改建议。</w:t>
      </w:r>
      <w:r>
        <w:rPr>
          <w:rFonts w:hint="eastAsia" w:ascii="方正小标宋简体" w:hAnsi="仿宋" w:eastAsia="方正小标宋简体" w:cs="仿宋_GB2312"/>
          <w:color w:val="000000" w:themeColor="text1"/>
          <w:sz w:val="32"/>
          <w:szCs w:val="32"/>
          <w14:textFill>
            <w14:solidFill>
              <w14:schemeClr w14:val="tx1"/>
            </w14:solidFill>
          </w14:textFill>
        </w:rPr>
        <w:br w:type="page"/>
      </w:r>
    </w:p>
    <w:p>
      <w:pPr>
        <w:pStyle w:val="2"/>
        <w:rPr>
          <w:rFonts w:hAnsi="黑体"/>
          <w:color w:val="000000" w:themeColor="text1"/>
          <w14:textFill>
            <w14:solidFill>
              <w14:schemeClr w14:val="tx1"/>
            </w14:solidFill>
          </w14:textFill>
        </w:rPr>
      </w:pPr>
      <w:bookmarkStart w:id="122" w:name="_Toc17935"/>
      <w:r>
        <w:rPr>
          <w:rFonts w:hint="eastAsia" w:ascii="方正小标宋简体" w:hAnsi="仿宋" w:eastAsia="方正小标宋简体" w:cs="仿宋_GB2312"/>
          <w:color w:val="000000" w:themeColor="text1"/>
          <w14:textFill>
            <w14:solidFill>
              <w14:schemeClr w14:val="tx1"/>
            </w14:solidFill>
          </w14:textFill>
        </w:rPr>
        <w:t>第四章 评标方法</w:t>
      </w:r>
      <w:bookmarkEnd w:id="108"/>
      <w:bookmarkEnd w:id="112"/>
      <w:bookmarkEnd w:id="113"/>
      <w:bookmarkEnd w:id="122"/>
    </w:p>
    <w:p>
      <w:pPr>
        <w:adjustRightInd w:val="0"/>
        <w:snapToGrid w:val="0"/>
        <w:spacing w:line="360" w:lineRule="auto"/>
        <w:ind w:firstLine="480" w:firstLineChars="200"/>
        <w:rPr>
          <w:rFonts w:ascii="仿宋_GB2312" w:hAnsi="仿宋" w:eastAsia="仿宋_GB2312" w:cs="仿宋_GB2312"/>
          <w:b/>
          <w:color w:val="000000" w:themeColor="text1"/>
          <w:kern w:val="0"/>
          <w:sz w:val="24"/>
          <w14:textFill>
            <w14:solidFill>
              <w14:schemeClr w14:val="tx1"/>
            </w14:solidFill>
          </w14:textFill>
        </w:rPr>
      </w:pPr>
      <w:r>
        <w:rPr>
          <w:rFonts w:hint="eastAsia" w:ascii="仿宋_GB2312" w:hAnsi="仿宋" w:eastAsia="仿宋_GB2312" w:cs="仿宋_GB2312"/>
          <w:bCs/>
          <w:color w:val="000000" w:themeColor="text1"/>
          <w:kern w:val="0"/>
          <w:sz w:val="24"/>
          <w14:textFill>
            <w14:solidFill>
              <w14:schemeClr w14:val="tx1"/>
            </w14:solidFill>
          </w14:textFill>
        </w:rPr>
        <w:t>本项目将按照招标文件第一章投标人须知中“六 开标及评标”、“七 确定中标”及本章的规定评标。</w:t>
      </w:r>
    </w:p>
    <w:p>
      <w:pPr>
        <w:adjustRightInd w:val="0"/>
        <w:snapToGrid w:val="0"/>
        <w:spacing w:line="360" w:lineRule="auto"/>
        <w:ind w:firstLine="480" w:firstLineChars="200"/>
        <w:rPr>
          <w:rFonts w:ascii="仿宋_GB2312" w:hAnsi="仿宋" w:eastAsia="仿宋_GB2312" w:cs="仿宋_GB2312"/>
          <w:b/>
          <w:color w:val="000000" w:themeColor="text1"/>
          <w:kern w:val="0"/>
          <w:sz w:val="24"/>
          <w14:textFill>
            <w14:solidFill>
              <w14:schemeClr w14:val="tx1"/>
            </w14:solidFill>
          </w14:textFill>
        </w:rPr>
      </w:pPr>
      <w:bookmarkStart w:id="123" w:name="_Toc22313_WPSOffice_Level2"/>
      <w:r>
        <w:rPr>
          <w:rFonts w:hint="eastAsia" w:ascii="仿宋_GB2312" w:hAnsi="仿宋" w:eastAsia="仿宋_GB2312" w:cs="仿宋_GB2312"/>
          <w:b/>
          <w:color w:val="000000" w:themeColor="text1"/>
          <w:kern w:val="0"/>
          <w:sz w:val="24"/>
          <w14:textFill>
            <w14:solidFill>
              <w14:schemeClr w14:val="tx1"/>
            </w14:solidFill>
          </w14:textFill>
        </w:rPr>
        <w:t>一、评标方法</w:t>
      </w:r>
      <w:bookmarkEnd w:id="123"/>
    </w:p>
    <w:p>
      <w:pPr>
        <w:adjustRightInd w:val="0"/>
        <w:snapToGri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本项目采用</w:t>
      </w:r>
      <w:r>
        <w:rPr>
          <w:rFonts w:hint="eastAsia" w:ascii="仿宋_GB2312" w:hAnsi="仿宋" w:eastAsia="仿宋_GB2312" w:cs="仿宋_GB2312"/>
          <w:color w:val="000000" w:themeColor="text1"/>
          <w:kern w:val="0"/>
          <w:sz w:val="24"/>
          <w:u w:val="single"/>
          <w14:textFill>
            <w14:solidFill>
              <w14:schemeClr w14:val="tx1"/>
            </w14:solidFill>
          </w14:textFill>
        </w:rPr>
        <w:t>综合评分法</w:t>
      </w:r>
      <w:r>
        <w:rPr>
          <w:rFonts w:hint="eastAsia" w:ascii="仿宋_GB2312" w:hAnsi="仿宋" w:eastAsia="仿宋_GB2312" w:cs="仿宋_GB2312"/>
          <w:color w:val="000000" w:themeColor="text1"/>
          <w:kern w:val="0"/>
          <w:sz w:val="24"/>
          <w14:textFill>
            <w14:solidFill>
              <w14:schemeClr w14:val="tx1"/>
            </w14:solidFill>
          </w14:textFill>
        </w:rPr>
        <w:t>进行评标。</w:t>
      </w:r>
    </w:p>
    <w:p>
      <w:pPr>
        <w:adjustRightInd w:val="0"/>
        <w:snapToGrid w:val="0"/>
        <w:spacing w:line="360" w:lineRule="auto"/>
        <w:ind w:firstLine="480" w:firstLineChars="200"/>
        <w:textAlignment w:val="baseline"/>
        <w:rPr>
          <w:rFonts w:ascii="仿宋_GB2312" w:hAnsi="仿宋" w:eastAsia="仿宋_GB2312" w:cs="仿宋_GB2312"/>
          <w:b/>
          <w:color w:val="000000" w:themeColor="text1"/>
          <w:kern w:val="0"/>
          <w:sz w:val="24"/>
          <w14:textFill>
            <w14:solidFill>
              <w14:schemeClr w14:val="tx1"/>
            </w14:solidFill>
          </w14:textFill>
        </w:rPr>
      </w:pPr>
      <w:bookmarkStart w:id="124" w:name="_Toc21368_WPSOffice_Level2"/>
      <w:r>
        <w:rPr>
          <w:rFonts w:hint="eastAsia" w:ascii="仿宋_GB2312" w:hAnsi="仿宋" w:eastAsia="仿宋_GB2312" w:cs="仿宋_GB2312"/>
          <w:b/>
          <w:color w:val="000000" w:themeColor="text1"/>
          <w:kern w:val="0"/>
          <w:sz w:val="24"/>
          <w14:textFill>
            <w14:solidFill>
              <w14:schemeClr w14:val="tx1"/>
            </w14:solidFill>
          </w14:textFill>
        </w:rPr>
        <w:t>二、评标原则及程序</w:t>
      </w:r>
      <w:bookmarkEnd w:id="124"/>
    </w:p>
    <w:p>
      <w:pPr>
        <w:adjustRightInd w:val="0"/>
        <w:snapToGrid w:val="0"/>
        <w:spacing w:line="360" w:lineRule="auto"/>
        <w:ind w:firstLine="480" w:firstLineChars="200"/>
        <w:textAlignment w:val="baseline"/>
        <w:rPr>
          <w:rFonts w:ascii="仿宋_GB2312" w:hAnsi="仿宋" w:eastAsia="仿宋_GB2312" w:cs="仿宋_GB2312"/>
          <w:b/>
          <w:color w:val="000000" w:themeColor="text1"/>
          <w:kern w:val="0"/>
          <w:sz w:val="24"/>
          <w14:textFill>
            <w14:solidFill>
              <w14:schemeClr w14:val="tx1"/>
            </w14:solidFill>
          </w14:textFill>
        </w:rPr>
      </w:pPr>
      <w:r>
        <w:rPr>
          <w:rFonts w:hint="eastAsia" w:ascii="仿宋_GB2312" w:hAnsi="仿宋" w:eastAsia="仿宋_GB2312" w:cs="仿宋_GB2312"/>
          <w:b/>
          <w:color w:val="000000" w:themeColor="text1"/>
          <w:kern w:val="0"/>
          <w:sz w:val="24"/>
          <w14:textFill>
            <w14:solidFill>
              <w14:schemeClr w14:val="tx1"/>
            </w14:solidFill>
          </w14:textFill>
        </w:rPr>
        <w:t>（一）评标原则</w:t>
      </w:r>
    </w:p>
    <w:p>
      <w:pPr>
        <w:adjustRightInd w:val="0"/>
        <w:snapToGrid w:val="0"/>
        <w:spacing w:line="360" w:lineRule="auto"/>
        <w:ind w:firstLine="480" w:firstLineChars="200"/>
        <w:textAlignment w:val="baseline"/>
        <w:rPr>
          <w:rFonts w:ascii="仿宋_GB2312" w:hAnsi="仿宋" w:eastAsia="仿宋_GB2312" w:cs="仿宋_GB2312"/>
          <w:b/>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评标委员会应当按照客观、公正、审慎的原则，根据采购文件规定的评审程序、评审方法和评审标准进行独立评审。采购文件内容违反国家有关强制性规定的，评标委员会应当停止评审并向采购人或者采购组织机构说明情况。</w:t>
      </w:r>
    </w:p>
    <w:p>
      <w:pPr>
        <w:adjustRightInd w:val="0"/>
        <w:snapToGrid w:val="0"/>
        <w:spacing w:line="360" w:lineRule="auto"/>
        <w:ind w:firstLine="480" w:firstLineChars="200"/>
        <w:textAlignment w:val="baseline"/>
        <w:rPr>
          <w:rFonts w:ascii="仿宋_GB2312" w:hAnsi="仿宋" w:eastAsia="仿宋_GB2312" w:cs="仿宋_GB2312"/>
          <w:b/>
          <w:color w:val="000000" w:themeColor="text1"/>
          <w:kern w:val="0"/>
          <w:sz w:val="24"/>
          <w14:textFill>
            <w14:solidFill>
              <w14:schemeClr w14:val="tx1"/>
            </w14:solidFill>
          </w14:textFill>
        </w:rPr>
      </w:pPr>
      <w:r>
        <w:rPr>
          <w:rFonts w:hint="eastAsia" w:ascii="仿宋_GB2312" w:hAnsi="仿宋" w:eastAsia="仿宋_GB2312" w:cs="仿宋_GB2312"/>
          <w:b/>
          <w:color w:val="000000" w:themeColor="text1"/>
          <w:kern w:val="0"/>
          <w:sz w:val="24"/>
          <w14:textFill>
            <w14:solidFill>
              <w14:schemeClr w14:val="tx1"/>
            </w14:solidFill>
          </w14:textFill>
        </w:rPr>
        <w:t>（二）评标程序</w:t>
      </w:r>
    </w:p>
    <w:p>
      <w:pPr>
        <w:adjustRightInd w:val="0"/>
        <w:snapToGrid w:val="0"/>
        <w:spacing w:line="360" w:lineRule="auto"/>
        <w:ind w:firstLine="240" w:firstLineChars="100"/>
        <w:textAlignment w:val="baseline"/>
        <w:rPr>
          <w:rFonts w:ascii="仿宋_GB2312" w:hAnsi="仿宋" w:eastAsia="仿宋_GB2312" w:cs="仿宋_GB2312"/>
          <w:b/>
          <w:color w:val="000000" w:themeColor="text1"/>
          <w:kern w:val="0"/>
          <w:sz w:val="24"/>
          <w14:textFill>
            <w14:solidFill>
              <w14:schemeClr w14:val="tx1"/>
            </w14:solidFill>
          </w14:textFill>
        </w:rPr>
      </w:pPr>
      <w:r>
        <w:rPr>
          <w:rFonts w:hint="eastAsia" w:ascii="仿宋_GB2312" w:hAnsi="仿宋" w:eastAsia="仿宋_GB2312" w:cs="仿宋_GB2312"/>
          <w:b/>
          <w:color w:val="000000" w:themeColor="text1"/>
          <w:kern w:val="0"/>
          <w:sz w:val="24"/>
          <w14:textFill>
            <w14:solidFill>
              <w14:schemeClr w14:val="tx1"/>
            </w14:solidFill>
          </w14:textFill>
        </w:rPr>
        <w:t>★1.资格性审查</w:t>
      </w:r>
    </w:p>
    <w:p>
      <w:pPr>
        <w:adjustRightInd w:val="0"/>
        <w:snapToGrid w:val="0"/>
        <w:spacing w:line="360" w:lineRule="auto"/>
        <w:ind w:firstLine="480" w:firstLineChars="200"/>
        <w:textAlignment w:val="baseline"/>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1.1详见投标人须知22条。资格审查表详见本章附件1。</w:t>
      </w:r>
    </w:p>
    <w:p>
      <w:pPr>
        <w:adjustRightInd w:val="0"/>
        <w:snapToGrid w:val="0"/>
        <w:spacing w:line="360" w:lineRule="auto"/>
        <w:ind w:firstLine="240" w:firstLineChars="100"/>
        <w:rPr>
          <w:rFonts w:ascii="仿宋_GB2312" w:hAnsi="仿宋" w:eastAsia="仿宋_GB2312" w:cs="仿宋_GB2312"/>
          <w:b/>
          <w:bCs/>
          <w:color w:val="000000" w:themeColor="text1"/>
          <w:kern w:val="0"/>
          <w:sz w:val="24"/>
          <w14:textFill>
            <w14:solidFill>
              <w14:schemeClr w14:val="tx1"/>
            </w14:solidFill>
          </w14:textFill>
        </w:rPr>
      </w:pPr>
      <w:r>
        <w:rPr>
          <w:rFonts w:hint="eastAsia" w:ascii="仿宋_GB2312" w:hAnsi="仿宋" w:eastAsia="仿宋_GB2312" w:cs="仿宋_GB2312"/>
          <w:b/>
          <w:color w:val="000000" w:themeColor="text1"/>
          <w:kern w:val="0"/>
          <w:sz w:val="24"/>
          <w14:textFill>
            <w14:solidFill>
              <w14:schemeClr w14:val="tx1"/>
            </w14:solidFill>
          </w14:textFill>
        </w:rPr>
        <w:t>★</w:t>
      </w:r>
      <w:r>
        <w:rPr>
          <w:rFonts w:hint="eastAsia" w:ascii="仿宋_GB2312" w:hAnsi="仿宋" w:eastAsia="仿宋_GB2312" w:cs="仿宋_GB2312"/>
          <w:b/>
          <w:bCs/>
          <w:color w:val="000000" w:themeColor="text1"/>
          <w:kern w:val="0"/>
          <w:sz w:val="24"/>
          <w14:textFill>
            <w14:solidFill>
              <w14:schemeClr w14:val="tx1"/>
            </w14:solidFill>
          </w14:textFill>
        </w:rPr>
        <w:t>2.符合性审查</w:t>
      </w:r>
    </w:p>
    <w:p>
      <w:pPr>
        <w:adjustRightInd w:val="0"/>
        <w:snapToGri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2.1详见投标人须知23条。符合性审查表详见本章附件2。</w:t>
      </w:r>
    </w:p>
    <w:p>
      <w:pPr>
        <w:adjustRightInd w:val="0"/>
        <w:snapToGrid w:val="0"/>
        <w:spacing w:line="360" w:lineRule="auto"/>
        <w:ind w:firstLine="480" w:firstLineChars="200"/>
        <w:rPr>
          <w:rFonts w:ascii="仿宋_GB2312" w:hAnsi="仿宋" w:eastAsia="仿宋_GB2312" w:cs="仿宋_GB2312"/>
          <w:b/>
          <w:color w:val="000000" w:themeColor="text1"/>
          <w:kern w:val="0"/>
          <w:sz w:val="24"/>
          <w14:textFill>
            <w14:solidFill>
              <w14:schemeClr w14:val="tx1"/>
            </w14:solidFill>
          </w14:textFill>
        </w:rPr>
      </w:pPr>
      <w:r>
        <w:rPr>
          <w:rFonts w:hint="eastAsia" w:ascii="仿宋_GB2312" w:hAnsi="仿宋" w:eastAsia="仿宋_GB2312" w:cs="仿宋_GB2312"/>
          <w:b/>
          <w:color w:val="000000" w:themeColor="text1"/>
          <w:kern w:val="0"/>
          <w:sz w:val="24"/>
          <w14:textFill>
            <w14:solidFill>
              <w14:schemeClr w14:val="tx1"/>
            </w14:solidFill>
          </w14:textFill>
        </w:rPr>
        <w:t>3.样品及演示</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3.1</w:t>
      </w:r>
      <w:r>
        <w:rPr>
          <w:rFonts w:hint="eastAsia" w:ascii="仿宋_GB2312" w:hAnsi="仿宋" w:eastAsia="仿宋_GB2312" w:cs="仿宋_GB2312"/>
          <w:color w:val="000000" w:themeColor="text1"/>
          <w:kern w:val="0"/>
          <w:sz w:val="24"/>
          <w14:textFill>
            <w14:solidFill>
              <w14:schemeClr w14:val="tx1"/>
            </w14:solidFill>
          </w14:textFill>
        </w:rPr>
        <w:t>投标人须知表11.3条</w:t>
      </w:r>
      <w:r>
        <w:rPr>
          <w:rFonts w:hint="eastAsia" w:ascii="仿宋_GB2312" w:hAnsi="仿宋" w:eastAsia="仿宋_GB2312" w:cs="仿宋_GB2312"/>
          <w:color w:val="000000" w:themeColor="text1"/>
          <w:sz w:val="24"/>
          <w14:textFill>
            <w14:solidFill>
              <w14:schemeClr w14:val="tx1"/>
            </w14:solidFill>
          </w14:textFill>
        </w:rPr>
        <w:t>中要求投标人提供样品或演示的，按照</w:t>
      </w:r>
      <w:r>
        <w:rPr>
          <w:rFonts w:hint="eastAsia" w:ascii="仿宋_GB2312" w:hAnsi="仿宋" w:eastAsia="仿宋_GB2312" w:cs="仿宋_GB2312"/>
          <w:color w:val="000000" w:themeColor="text1"/>
          <w:kern w:val="0"/>
          <w:sz w:val="24"/>
          <w14:textFill>
            <w14:solidFill>
              <w14:schemeClr w14:val="tx1"/>
            </w14:solidFill>
          </w14:textFill>
        </w:rPr>
        <w:t>投标人须知表25.1条</w:t>
      </w:r>
      <w:r>
        <w:rPr>
          <w:rFonts w:hint="eastAsia" w:ascii="仿宋_GB2312" w:hAnsi="仿宋" w:eastAsia="仿宋_GB2312" w:cs="仿宋_GB2312"/>
          <w:color w:val="000000" w:themeColor="text1"/>
          <w:sz w:val="24"/>
          <w14:textFill>
            <w14:solidFill>
              <w14:schemeClr w14:val="tx1"/>
            </w14:solidFill>
          </w14:textFill>
        </w:rPr>
        <w:t>中确定的评审方法以及评审标准进行评审。(样品或演示属于符合性审查的，按照</w:t>
      </w:r>
      <w:r>
        <w:rPr>
          <w:rFonts w:hint="eastAsia" w:ascii="仿宋_GB2312" w:hAnsi="仿宋" w:eastAsia="仿宋_GB2312" w:cs="仿宋_GB2312"/>
          <w:color w:val="000000" w:themeColor="text1"/>
          <w:kern w:val="0"/>
          <w:sz w:val="24"/>
          <w14:textFill>
            <w14:solidFill>
              <w14:schemeClr w14:val="tx1"/>
            </w14:solidFill>
          </w14:textFill>
        </w:rPr>
        <w:t>投标人须知23条</w:t>
      </w:r>
      <w:r>
        <w:rPr>
          <w:rFonts w:hint="eastAsia" w:ascii="仿宋_GB2312" w:hAnsi="仿宋" w:eastAsia="仿宋_GB2312" w:cs="仿宋_GB2312"/>
          <w:color w:val="000000" w:themeColor="text1"/>
          <w:sz w:val="24"/>
          <w14:textFill>
            <w14:solidFill>
              <w14:schemeClr w14:val="tx1"/>
            </w14:solidFill>
          </w14:textFill>
        </w:rPr>
        <w:t>规定执行）</w:t>
      </w:r>
    </w:p>
    <w:p>
      <w:pPr>
        <w:adjustRightInd w:val="0"/>
        <w:snapToGrid w:val="0"/>
        <w:spacing w:line="360" w:lineRule="auto"/>
        <w:ind w:firstLine="240" w:firstLineChars="100"/>
        <w:rPr>
          <w:rFonts w:ascii="仿宋_GB2312" w:hAnsi="仿宋" w:eastAsia="仿宋_GB2312" w:cs="仿宋_GB2312"/>
          <w:b/>
          <w:bCs/>
          <w:color w:val="000000" w:themeColor="text1"/>
          <w:kern w:val="0"/>
          <w:sz w:val="24"/>
          <w14:textFill>
            <w14:solidFill>
              <w14:schemeClr w14:val="tx1"/>
            </w14:solidFill>
          </w14:textFill>
        </w:rPr>
      </w:pPr>
      <w:r>
        <w:rPr>
          <w:rFonts w:hint="eastAsia" w:ascii="仿宋_GB2312" w:hAnsi="仿宋" w:eastAsia="仿宋_GB2312" w:cs="仿宋_GB2312"/>
          <w:b/>
          <w:color w:val="000000" w:themeColor="text1"/>
          <w:kern w:val="0"/>
          <w:sz w:val="24"/>
          <w14:textFill>
            <w14:solidFill>
              <w14:schemeClr w14:val="tx1"/>
            </w14:solidFill>
          </w14:textFill>
        </w:rPr>
        <w:t>★4</w:t>
      </w:r>
      <w:r>
        <w:rPr>
          <w:rFonts w:hint="eastAsia" w:ascii="仿宋_GB2312" w:hAnsi="仿宋" w:eastAsia="仿宋_GB2312" w:cs="仿宋_GB2312"/>
          <w:b/>
          <w:bCs/>
          <w:color w:val="000000" w:themeColor="text1"/>
          <w:kern w:val="0"/>
          <w:sz w:val="24"/>
          <w14:textFill>
            <w14:solidFill>
              <w14:schemeClr w14:val="tx1"/>
            </w14:solidFill>
          </w14:textFill>
        </w:rPr>
        <w:t>.比较及评价</w:t>
      </w:r>
    </w:p>
    <w:p>
      <w:pPr>
        <w:adjustRightInd w:val="0"/>
        <w:snapToGri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4.1评标委员会对通过符合性审查的投标文件进行比较和评价。</w:t>
      </w:r>
    </w:p>
    <w:p>
      <w:pPr>
        <w:adjustRightInd w:val="0"/>
        <w:snapToGri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4.2在评标期间，对投标文件的澄清按投标人须知24条内容执行。</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4.3评标委员会认为投标人的报价明显低于其他通过符合性审查的投标人报价，有可能影响服务质量或者不能诚信履约的，评标委员会应当要求其在评标现场合理的时间（</w:t>
      </w:r>
      <w:r>
        <w:rPr>
          <w:rFonts w:hint="eastAsia" w:ascii="仿宋_GB2312" w:hAnsi="仿宋" w:eastAsia="仿宋_GB2312" w:cs="仿宋_GB2312"/>
          <w:color w:val="000000" w:themeColor="text1"/>
          <w:kern w:val="0"/>
          <w:sz w:val="24"/>
          <w14:textFill>
            <w14:solidFill>
              <w14:schemeClr w14:val="tx1"/>
            </w14:solidFill>
          </w14:textFill>
        </w:rPr>
        <w:t>接到通知后</w:t>
      </w:r>
      <w:r>
        <w:rPr>
          <w:rFonts w:hint="eastAsia" w:ascii="仿宋_GB2312" w:hAnsi="仿宋" w:eastAsia="仿宋_GB2312" w:cs="仿宋_GB2312"/>
          <w:color w:val="000000" w:themeColor="text1"/>
          <w:kern w:val="0"/>
          <w:sz w:val="24"/>
          <w:u w:val="single"/>
          <w14:textFill>
            <w14:solidFill>
              <w14:schemeClr w14:val="tx1"/>
            </w14:solidFill>
          </w14:textFill>
        </w:rPr>
        <w:t>0.5</w:t>
      </w:r>
      <w:r>
        <w:rPr>
          <w:rFonts w:hint="eastAsia" w:ascii="仿宋_GB2312" w:hAnsi="仿宋" w:eastAsia="仿宋_GB2312" w:cs="仿宋_GB2312"/>
          <w:color w:val="000000" w:themeColor="text1"/>
          <w:kern w:val="0"/>
          <w:sz w:val="24"/>
          <w14:textFill>
            <w14:solidFill>
              <w14:schemeClr w14:val="tx1"/>
            </w14:solidFill>
          </w14:textFill>
        </w:rPr>
        <w:t>小时</w:t>
      </w:r>
      <w:r>
        <w:rPr>
          <w:rFonts w:hint="eastAsia" w:ascii="仿宋_GB2312" w:hAnsi="仿宋" w:eastAsia="仿宋_GB2312" w:cs="仿宋_GB2312"/>
          <w:color w:val="000000" w:themeColor="text1"/>
          <w:sz w:val="24"/>
          <w14:textFill>
            <w14:solidFill>
              <w14:schemeClr w14:val="tx1"/>
            </w14:solidFill>
          </w14:textFill>
        </w:rPr>
        <w:t>）内提供书面说明，并提交相关证明材料，</w:t>
      </w:r>
      <w:r>
        <w:rPr>
          <w:rFonts w:hint="eastAsia" w:ascii="仿宋_GB2312" w:hAnsi="仿宋" w:eastAsia="仿宋_GB2312" w:cs="仿宋_GB2312"/>
          <w:color w:val="000000" w:themeColor="text1"/>
          <w:kern w:val="0"/>
          <w:sz w:val="24"/>
          <w14:textFill>
            <w14:solidFill>
              <w14:schemeClr w14:val="tx1"/>
            </w14:solidFill>
          </w14:textFill>
        </w:rPr>
        <w:t>投标人不能证明其报价合理性的，评标委员会应当将</w:t>
      </w:r>
      <w:r>
        <w:rPr>
          <w:rFonts w:hint="eastAsia" w:ascii="仿宋_GB2312" w:hAnsi="仿宋" w:eastAsia="仿宋_GB2312" w:cs="仿宋_GB2312"/>
          <w:color w:val="000000" w:themeColor="text1"/>
          <w:sz w:val="24"/>
          <w14:textFill>
            <w14:solidFill>
              <w14:schemeClr w14:val="tx1"/>
            </w14:solidFill>
          </w14:textFill>
        </w:rPr>
        <w:t>其投标作为</w:t>
      </w:r>
      <w:r>
        <w:rPr>
          <w:rFonts w:hint="eastAsia" w:ascii="仿宋_GB2312" w:hAnsi="仿宋" w:eastAsia="仿宋_GB2312" w:cs="仿宋_GB2312"/>
          <w:b/>
          <w:bCs/>
          <w:color w:val="000000" w:themeColor="text1"/>
          <w:sz w:val="24"/>
          <w14:textFill>
            <w14:solidFill>
              <w14:schemeClr w14:val="tx1"/>
            </w14:solidFill>
          </w14:textFill>
        </w:rPr>
        <w:t>无效投标处理</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投标人的书面说明材料包含服务本身成本、人工费用、运输、税收等，以及报价不会影响服务质量或诚信履约能力的说明等。</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投标人的书面说明应当签字确认或者加盖公章，否则无效。书面说明的签字确认，由其法定代表人（非法人单位负责人或自然人本人）或者其授权代表签字确认。</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pPr>
        <w:numPr>
          <w:ilvl w:val="0"/>
          <w:numId w:val="9"/>
        </w:num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拒绝或者变相拒绝提供有效书面说明；</w:t>
      </w:r>
    </w:p>
    <w:p>
      <w:pPr>
        <w:numPr>
          <w:ilvl w:val="0"/>
          <w:numId w:val="9"/>
        </w:num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书面说明不能证明其报价合理性的；</w:t>
      </w:r>
    </w:p>
    <w:p>
      <w:pPr>
        <w:numPr>
          <w:ilvl w:val="0"/>
          <w:numId w:val="9"/>
        </w:num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未在规定时间内递交有效书面说明书的。</w:t>
      </w:r>
    </w:p>
    <w:p>
      <w:pPr>
        <w:adjustRightInd w:val="0"/>
        <w:snapToGrid w:val="0"/>
        <w:spacing w:line="360" w:lineRule="auto"/>
        <w:ind w:firstLine="240" w:firstLineChars="100"/>
        <w:rPr>
          <w:rFonts w:ascii="仿宋_GB2312" w:hAnsi="仿宋" w:eastAsia="仿宋_GB2312" w:cs="仿宋_GB2312"/>
          <w:b/>
          <w:bCs/>
          <w:color w:val="000000" w:themeColor="text1"/>
          <w:kern w:val="0"/>
          <w:sz w:val="24"/>
          <w14:textFill>
            <w14:solidFill>
              <w14:schemeClr w14:val="tx1"/>
            </w14:solidFill>
          </w14:textFill>
        </w:rPr>
      </w:pPr>
      <w:r>
        <w:rPr>
          <w:rFonts w:hint="eastAsia" w:ascii="仿宋_GB2312" w:hAnsi="仿宋" w:eastAsia="仿宋_GB2312" w:cs="仿宋_GB2312"/>
          <w:b/>
          <w:color w:val="000000" w:themeColor="text1"/>
          <w:kern w:val="0"/>
          <w:sz w:val="24"/>
          <w14:textFill>
            <w14:solidFill>
              <w14:schemeClr w14:val="tx1"/>
            </w14:solidFill>
          </w14:textFill>
        </w:rPr>
        <w:t>★5</w:t>
      </w:r>
      <w:r>
        <w:rPr>
          <w:rFonts w:hint="eastAsia" w:ascii="仿宋_GB2312" w:hAnsi="仿宋" w:eastAsia="仿宋_GB2312" w:cs="仿宋_GB2312"/>
          <w:b/>
          <w:bCs/>
          <w:color w:val="000000" w:themeColor="text1"/>
          <w:kern w:val="0"/>
          <w:sz w:val="24"/>
          <w14:textFill>
            <w14:solidFill>
              <w14:schemeClr w14:val="tx1"/>
            </w14:solidFill>
          </w14:textFill>
        </w:rPr>
        <w:t>.需落实的政府采购政策性规定：</w:t>
      </w:r>
    </w:p>
    <w:p>
      <w:pPr>
        <w:adjustRightInd w:val="0"/>
        <w:snapToGrid w:val="0"/>
        <w:spacing w:line="360" w:lineRule="auto"/>
        <w:ind w:firstLine="480" w:firstLineChars="200"/>
        <w:rPr>
          <w:rFonts w:ascii="仿宋_GB2312" w:hAnsi="仿宋" w:eastAsia="仿宋_GB2312" w:cs="仿宋_GB2312"/>
          <w:b/>
          <w:color w:val="000000" w:themeColor="text1"/>
          <w:kern w:val="0"/>
          <w:sz w:val="24"/>
          <w14:textFill>
            <w14:solidFill>
              <w14:schemeClr w14:val="tx1"/>
            </w14:solidFill>
          </w14:textFill>
        </w:rPr>
      </w:pPr>
      <w:r>
        <w:rPr>
          <w:rFonts w:hint="eastAsia" w:ascii="仿宋_GB2312" w:hAnsi="仿宋" w:eastAsia="仿宋_GB2312" w:cs="仿宋_GB2312"/>
          <w:b/>
          <w:color w:val="000000" w:themeColor="text1"/>
          <w:kern w:val="0"/>
          <w:sz w:val="24"/>
          <w14:textFill>
            <w14:solidFill>
              <w14:schemeClr w14:val="tx1"/>
            </w14:solidFill>
          </w14:textFill>
        </w:rPr>
        <w:t>5.1对于中小微企业的相关规定</w:t>
      </w:r>
    </w:p>
    <w:p>
      <w:pPr>
        <w:adjustRightInd w:val="0"/>
        <w:snapToGrid w:val="0"/>
        <w:spacing w:line="360" w:lineRule="auto"/>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5.1.1对于非专门面向中小企业的项目，在满足价格扣除条件且在投标文件中按要求提交了《中小企业声明函》</w:t>
      </w:r>
      <w:r>
        <w:rPr>
          <w:rFonts w:hint="eastAsia" w:ascii="仿宋_GB2312" w:hAnsi="仿宋" w:eastAsia="仿宋_GB2312" w:cs="仿宋_GB2312"/>
          <w:color w:val="000000" w:themeColor="text1"/>
          <w:kern w:val="0"/>
          <w:sz w:val="24"/>
          <w14:textFill>
            <w14:solidFill>
              <w14:schemeClr w14:val="tx1"/>
            </w14:solidFill>
          </w14:textFill>
        </w:rPr>
        <w:t>的，</w:t>
      </w:r>
      <w:r>
        <w:rPr>
          <w:rFonts w:hint="eastAsia" w:ascii="仿宋_GB2312" w:hAnsi="仿宋" w:eastAsia="仿宋_GB2312" w:cs="仿宋_GB2312"/>
          <w:color w:val="000000" w:themeColor="text1"/>
          <w:sz w:val="24"/>
          <w14:textFill>
            <w14:solidFill>
              <w14:schemeClr w14:val="tx1"/>
            </w14:solidFill>
          </w14:textFill>
        </w:rPr>
        <w:t>对投标报价给予价格扣除，用扣除后的价格参与评审。投标报价扣除比例如下：</w:t>
      </w:r>
    </w:p>
    <w:p>
      <w:pPr>
        <w:adjustRightInd w:val="0"/>
        <w:snapToGrid w:val="0"/>
        <w:spacing w:line="360" w:lineRule="auto"/>
        <w:ind w:firstLine="240" w:firstLineChars="1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（1）非联合体投标</w:t>
      </w:r>
    </w:p>
    <w:p>
      <w:pPr>
        <w:adjustRightInd w:val="0"/>
        <w:snapToGrid w:val="0"/>
        <w:spacing w:line="360" w:lineRule="auto"/>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xml:space="preserve">       小型和微型企业相应产品、服务投标报价的</w:t>
      </w:r>
      <w:r>
        <w:rPr>
          <w:rFonts w:hint="eastAsia" w:ascii="仿宋_GB2312" w:hAnsi="仿宋" w:eastAsia="仿宋_GB2312" w:cs="仿宋_GB2312"/>
          <w:b/>
          <w:bCs/>
          <w:color w:val="000000" w:themeColor="text1"/>
          <w:kern w:val="0"/>
          <w:sz w:val="24"/>
          <w:u w:val="single"/>
          <w14:textFill>
            <w14:solidFill>
              <w14:schemeClr w14:val="tx1"/>
            </w14:solidFill>
          </w14:textFill>
        </w:rPr>
        <w:t xml:space="preserve"> 10% </w:t>
      </w:r>
      <w:r>
        <w:rPr>
          <w:rFonts w:hint="eastAsia" w:ascii="仿宋_GB2312" w:hAnsi="仿宋" w:eastAsia="仿宋_GB2312" w:cs="仿宋_GB2312"/>
          <w:color w:val="000000" w:themeColor="text1"/>
          <w:kern w:val="0"/>
          <w:sz w:val="24"/>
          <w14:textFill>
            <w14:solidFill>
              <w14:schemeClr w14:val="tx1"/>
            </w14:solidFill>
          </w14:textFill>
        </w:rPr>
        <w:t>（10-20%）</w:t>
      </w:r>
      <w:r>
        <w:rPr>
          <w:rFonts w:hint="eastAsia" w:ascii="仿宋_GB2312" w:hAnsi="仿宋" w:eastAsia="仿宋_GB2312" w:cs="仿宋_GB2312"/>
          <w:b/>
          <w:bCs/>
          <w:color w:val="000000" w:themeColor="text1"/>
          <w:kern w:val="0"/>
          <w:sz w:val="24"/>
          <w14:textFill>
            <w14:solidFill>
              <w14:schemeClr w14:val="tx1"/>
            </w14:solidFill>
          </w14:textFill>
        </w:rPr>
        <w:t>。</w:t>
      </w:r>
    </w:p>
    <w:p>
      <w:pPr>
        <w:adjustRightInd w:val="0"/>
        <w:snapToGrid w:val="0"/>
        <w:spacing w:line="360" w:lineRule="auto"/>
        <w:ind w:firstLine="240" w:firstLineChars="1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（2）联合体投标</w:t>
      </w:r>
    </w:p>
    <w:p>
      <w:pPr>
        <w:adjustRightInd w:val="0"/>
        <w:snapToGrid w:val="0"/>
        <w:spacing w:line="360" w:lineRule="auto"/>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投标报价扣除</w:t>
      </w:r>
      <w:r>
        <w:rPr>
          <w:rFonts w:hint="eastAsia" w:ascii="仿宋_GB2312" w:hAnsi="仿宋" w:eastAsia="仿宋_GB2312" w:cs="仿宋_GB2312"/>
          <w:b/>
          <w:bCs/>
          <w:color w:val="000000" w:themeColor="text1"/>
          <w:kern w:val="0"/>
          <w:sz w:val="24"/>
          <w:u w:val="single"/>
          <w14:textFill>
            <w14:solidFill>
              <w14:schemeClr w14:val="tx1"/>
            </w14:solidFill>
          </w14:textFill>
        </w:rPr>
        <w:t xml:space="preserve"> 4% </w:t>
      </w:r>
      <w:r>
        <w:rPr>
          <w:rFonts w:hint="eastAsia" w:ascii="仿宋_GB2312" w:hAnsi="仿宋" w:eastAsia="仿宋_GB2312" w:cs="仿宋_GB2312"/>
          <w:color w:val="000000" w:themeColor="text1"/>
          <w:kern w:val="0"/>
          <w:sz w:val="24"/>
          <w14:textFill>
            <w14:solidFill>
              <w14:schemeClr w14:val="tx1"/>
            </w14:solidFill>
          </w14:textFill>
        </w:rPr>
        <w:t>（4-6%）</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xml:space="preserve">联合体各方均为小型、微型企业的，联合体视同为小型、微型企业，按第本款（1）条规定扣除比例享受扶持政策。组成联合体的大中型企业和其他自然人、法人或者其他组织，与小型、微型企业之间不得存在投资关系。 </w:t>
      </w:r>
    </w:p>
    <w:p>
      <w:pPr>
        <w:adjustRightInd w:val="0"/>
        <w:snapToGrid w:val="0"/>
        <w:spacing w:line="360" w:lineRule="auto"/>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5.1.2监狱企业视同小型、微型企业，在满足价格扣除条件且在投标文件中按要求提交了省级以上监狱管理局、戒毒管理局（含新疆生产建设兵团）出具的属于监狱企业的证明文件的，对其投标报价按本章</w:t>
      </w:r>
      <w:r>
        <w:rPr>
          <w:rFonts w:ascii="仿宋_GB2312" w:hAnsi="仿宋" w:eastAsia="仿宋_GB2312" w:cs="仿宋_GB2312"/>
          <w:color w:val="000000" w:themeColor="text1"/>
          <w:sz w:val="24"/>
          <w14:textFill>
            <w14:solidFill>
              <w14:schemeClr w14:val="tx1"/>
            </w14:solidFill>
          </w14:textFill>
        </w:rPr>
        <w:t>5</w:t>
      </w:r>
      <w:r>
        <w:rPr>
          <w:rFonts w:hint="eastAsia" w:ascii="仿宋_GB2312" w:hAnsi="仿宋" w:eastAsia="仿宋_GB2312" w:cs="仿宋_GB2312"/>
          <w:color w:val="000000" w:themeColor="text1"/>
          <w:sz w:val="24"/>
          <w14:textFill>
            <w14:solidFill>
              <w14:schemeClr w14:val="tx1"/>
            </w14:solidFill>
          </w14:textFill>
        </w:rPr>
        <w:t>.1.1条款的比例予以扣除，</w:t>
      </w:r>
      <w:r>
        <w:rPr>
          <w:rFonts w:hint="eastAsia" w:ascii="仿宋_GB2312" w:hAnsi="仿宋" w:eastAsia="仿宋_GB2312" w:cs="仿宋_GB2312"/>
          <w:color w:val="000000" w:themeColor="text1"/>
          <w:kern w:val="0"/>
          <w:sz w:val="24"/>
          <w14:textFill>
            <w14:solidFill>
              <w14:schemeClr w14:val="tx1"/>
            </w14:solidFill>
          </w14:textFill>
        </w:rPr>
        <w:t>用扣除后的价格参与评审</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b/>
          <w:color w:val="000000" w:themeColor="text1"/>
          <w:kern w:val="0"/>
          <w:sz w:val="24"/>
          <w14:textFill>
            <w14:solidFill>
              <w14:schemeClr w14:val="tx1"/>
            </w14:solidFill>
          </w14:textFill>
        </w:rPr>
        <w:t>5.1.3</w:t>
      </w:r>
      <w:r>
        <w:rPr>
          <w:rFonts w:hint="eastAsia" w:ascii="仿宋_GB2312" w:hAnsi="仿宋" w:eastAsia="仿宋_GB2312" w:cs="仿宋_GB2312"/>
          <w:color w:val="000000" w:themeColor="text1"/>
          <w:sz w:val="24"/>
          <w14:textFill>
            <w14:solidFill>
              <w14:schemeClr w14:val="tx1"/>
            </w14:solidFill>
          </w14:textFill>
        </w:rPr>
        <w:t>残疾人福利性单位视同小型、微型企业，在满足价格扣除条件且在</w:t>
      </w:r>
      <w:r>
        <w:rPr>
          <w:rFonts w:hint="eastAsia" w:ascii="仿宋_GB2312" w:hAnsi="仿宋" w:eastAsia="仿宋_GB2312" w:cs="仿宋_GB2312"/>
          <w:color w:val="000000" w:themeColor="text1"/>
          <w:kern w:val="0"/>
          <w:sz w:val="24"/>
          <w14:textFill>
            <w14:solidFill>
              <w14:schemeClr w14:val="tx1"/>
            </w14:solidFill>
          </w14:textFill>
        </w:rPr>
        <w:t>投标文件中提供了《残疾人福利性单位声明函》的，</w:t>
      </w:r>
      <w:r>
        <w:rPr>
          <w:rFonts w:hint="eastAsia" w:ascii="仿宋_GB2312" w:hAnsi="仿宋" w:eastAsia="仿宋_GB2312" w:cs="仿宋_GB2312"/>
          <w:color w:val="000000" w:themeColor="text1"/>
          <w:sz w:val="24"/>
          <w14:textFill>
            <w14:solidFill>
              <w14:schemeClr w14:val="tx1"/>
            </w14:solidFill>
          </w14:textFill>
        </w:rPr>
        <w:t>对其投标报价按本章</w:t>
      </w:r>
      <w:r>
        <w:rPr>
          <w:rFonts w:ascii="仿宋_GB2312" w:hAnsi="仿宋" w:eastAsia="仿宋_GB2312" w:cs="仿宋_GB2312"/>
          <w:color w:val="000000" w:themeColor="text1"/>
          <w:sz w:val="24"/>
          <w14:textFill>
            <w14:solidFill>
              <w14:schemeClr w14:val="tx1"/>
            </w14:solidFill>
          </w14:textFill>
        </w:rPr>
        <w:t>5</w:t>
      </w:r>
      <w:r>
        <w:rPr>
          <w:rFonts w:hint="eastAsia" w:ascii="仿宋_GB2312" w:hAnsi="仿宋" w:eastAsia="仿宋_GB2312" w:cs="仿宋_GB2312"/>
          <w:color w:val="000000" w:themeColor="text1"/>
          <w:sz w:val="24"/>
          <w14:textFill>
            <w14:solidFill>
              <w14:schemeClr w14:val="tx1"/>
            </w14:solidFill>
          </w14:textFill>
        </w:rPr>
        <w:t>.1.1条款的比例予以扣除</w:t>
      </w:r>
      <w:r>
        <w:rPr>
          <w:rFonts w:hint="eastAsia" w:ascii="仿宋_GB2312" w:hAnsi="仿宋" w:eastAsia="仿宋_GB2312" w:cs="仿宋_GB2312"/>
          <w:color w:val="000000" w:themeColor="text1"/>
          <w:kern w:val="0"/>
          <w:sz w:val="24"/>
          <w14:textFill>
            <w14:solidFill>
              <w14:schemeClr w14:val="tx1"/>
            </w14:solidFill>
          </w14:textFill>
        </w:rPr>
        <w:t>，用扣除后的价格参与评审。</w:t>
      </w:r>
    </w:p>
    <w:p>
      <w:pPr>
        <w:adjustRightInd w:val="0"/>
        <w:snapToGrid w:val="0"/>
        <w:spacing w:line="360" w:lineRule="auto"/>
        <w:ind w:firstLine="480" w:firstLineChars="200"/>
        <w:rPr>
          <w:rFonts w:ascii="仿宋_GB2312" w:hAnsi="仿宋" w:eastAsia="仿宋_GB2312" w:cs="仿宋_GB2312"/>
          <w:b/>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5.1.4监狱企业、残疾人福利性单位属于小型、微型企业的，不重复享受政策。</w:t>
      </w:r>
    </w:p>
    <w:p>
      <w:pPr>
        <w:adjustRightInd w:val="0"/>
        <w:spacing w:line="360" w:lineRule="auto"/>
        <w:ind w:firstLine="480" w:firstLineChars="200"/>
        <w:jc w:val="left"/>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5.2对于节能产品、环境标志产品的相关规定（本项目不适用）</w:t>
      </w:r>
    </w:p>
    <w:p>
      <w:pPr>
        <w:adjustRightInd w:val="0"/>
        <w:snapToGrid w:val="0"/>
        <w:spacing w:line="360" w:lineRule="auto"/>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招标人招标的服务有伴随货物的，如伴随的货物属于节能产品或环境标志产品，依据品目清单和认证证书实施政府优先采购。投标人应能够提供国家确定的认证机构出具的、处于有效期之内的节能产品、环境标志产品认证证书，方可对获得证书的产品优先推荐。</w:t>
      </w:r>
    </w:p>
    <w:p>
      <w:pPr>
        <w:adjustRightInd w:val="0"/>
        <w:snapToGrid w:val="0"/>
        <w:spacing w:line="360" w:lineRule="auto"/>
        <w:ind w:firstLine="720" w:firstLineChars="3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采用最低评标价法的，</w:t>
      </w:r>
      <w:r>
        <w:rPr>
          <w:rFonts w:hint="eastAsia" w:ascii="仿宋_GB2312" w:hAnsi="仿宋" w:eastAsia="仿宋_GB2312" w:cs="仿宋_GB2312"/>
          <w:color w:val="000000" w:themeColor="text1"/>
          <w:sz w:val="24"/>
          <w14:textFill>
            <w14:solidFill>
              <w14:schemeClr w14:val="tx1"/>
            </w14:solidFill>
          </w14:textFill>
        </w:rPr>
        <w:t>对</w:t>
      </w:r>
      <w:r>
        <w:rPr>
          <w:rFonts w:hint="eastAsia" w:ascii="仿宋_GB2312" w:hAnsi="仿宋" w:eastAsia="仿宋_GB2312" w:cs="仿宋_GB2312"/>
          <w:color w:val="000000" w:themeColor="text1"/>
          <w:kern w:val="0"/>
          <w:sz w:val="24"/>
          <w14:textFill>
            <w14:solidFill>
              <w14:schemeClr w14:val="tx1"/>
            </w14:solidFill>
          </w14:textFill>
        </w:rPr>
        <w:t>清单中投标产品的报价</w:t>
      </w:r>
      <w:r>
        <w:rPr>
          <w:rFonts w:hint="eastAsia" w:ascii="仿宋_GB2312" w:hAnsi="仿宋" w:eastAsia="仿宋_GB2312" w:cs="仿宋_GB2312"/>
          <w:color w:val="000000" w:themeColor="text1"/>
          <w:sz w:val="24"/>
          <w14:textFill>
            <w14:solidFill>
              <w14:schemeClr w14:val="tx1"/>
            </w14:solidFill>
          </w14:textFill>
        </w:rPr>
        <w:t>给予价格扣除，用扣除后的价格参与评审。报价扣除比例为</w:t>
      </w:r>
      <w:r>
        <w:rPr>
          <w:rFonts w:hint="eastAsia" w:ascii="仿宋_GB2312" w:hAnsi="仿宋" w:eastAsia="仿宋_GB2312" w:cs="仿宋_GB2312"/>
          <w:color w:val="000000" w:themeColor="text1"/>
          <w:kern w:val="0"/>
          <w:sz w:val="24"/>
          <w14:textFill>
            <w14:solidFill>
              <w14:schemeClr w14:val="tx1"/>
            </w14:solidFill>
          </w14:textFill>
        </w:rPr>
        <w:t>清单中产品报价的</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kern w:val="0"/>
          <w:sz w:val="24"/>
          <w:u w:val="single"/>
          <w14:textFill>
            <w14:solidFill>
              <w14:schemeClr w14:val="tx1"/>
            </w14:solidFill>
          </w14:textFill>
        </w:rPr>
        <w:t>/</w:t>
      </w:r>
      <w:r>
        <w:rPr>
          <w:rFonts w:hint="eastAsia" w:ascii="仿宋_GB2312" w:hAnsi="仿宋" w:eastAsia="仿宋_GB2312" w:cs="仿宋_GB2312"/>
          <w:color w:val="000000" w:themeColor="text1"/>
          <w:sz w:val="24"/>
          <w14:textFill>
            <w14:solidFill>
              <w14:schemeClr w14:val="tx1"/>
            </w14:solidFill>
          </w14:textFill>
        </w:rPr>
        <w:t>%。</w:t>
      </w:r>
    </w:p>
    <w:p>
      <w:pPr>
        <w:adjustRightInd w:val="0"/>
        <w:snapToGrid w:val="0"/>
        <w:spacing w:line="360" w:lineRule="auto"/>
        <w:ind w:firstLine="720" w:firstLineChars="3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采用综合评分法评标的项目，对清单中产品给予相应的加分。（详见评分细则）</w:t>
      </w:r>
    </w:p>
    <w:p>
      <w:pPr>
        <w:adjustRightInd w:val="0"/>
        <w:spacing w:line="360" w:lineRule="auto"/>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（2）投标人应同时提供品目清单网络截图，并以明确标注所报产品信息和位置的方式，用以方便评审。</w:t>
      </w:r>
    </w:p>
    <w:p>
      <w:pPr>
        <w:adjustRightInd w:val="0"/>
        <w:spacing w:line="360" w:lineRule="auto"/>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（3）认证机构和获证产品信息发布媒体：详见中国政府采购网（www.ccgp.gov.cn）建立的与认证结果信息发布平台的链接。</w:t>
      </w:r>
    </w:p>
    <w:p>
      <w:pPr>
        <w:adjustRightInd w:val="0"/>
        <w:snapToGrid w:val="0"/>
        <w:spacing w:line="360" w:lineRule="auto"/>
        <w:ind w:firstLine="480" w:firstLineChars="200"/>
        <w:rPr>
          <w:rFonts w:ascii="仿宋_GB2312" w:hAnsi="仿宋" w:eastAsia="仿宋_GB2312" w:cs="仿宋_GB2312"/>
          <w:b/>
          <w:color w:val="000000" w:themeColor="text1"/>
          <w:sz w:val="24"/>
          <w14:textFill>
            <w14:solidFill>
              <w14:schemeClr w14:val="tx1"/>
            </w14:solidFill>
          </w14:textFill>
        </w:rPr>
      </w:pPr>
      <w:r>
        <w:rPr>
          <w:rFonts w:hint="eastAsia" w:ascii="仿宋_GB2312" w:hAnsi="仿宋" w:eastAsia="仿宋_GB2312" w:cs="仿宋_GB2312"/>
          <w:b/>
          <w:color w:val="000000" w:themeColor="text1"/>
          <w:kern w:val="0"/>
          <w:sz w:val="24"/>
          <w14:textFill>
            <w14:solidFill>
              <w14:schemeClr w14:val="tx1"/>
            </w14:solidFill>
          </w14:textFill>
        </w:rPr>
        <w:t>5.3对于聘用建档立卡贫困人员物业公司的相关规定</w:t>
      </w:r>
      <w:r>
        <w:rPr>
          <w:rFonts w:hint="eastAsia" w:ascii="仿宋_GB2312" w:hAnsi="仿宋" w:eastAsia="仿宋_GB2312" w:cs="仿宋_GB2312"/>
          <w:b/>
          <w:color w:val="000000" w:themeColor="text1"/>
          <w:sz w:val="24"/>
          <w14:textFill>
            <w14:solidFill>
              <w14:schemeClr w14:val="tx1"/>
            </w14:solidFill>
          </w14:textFill>
        </w:rPr>
        <w:t>(本项目不适用)</w:t>
      </w:r>
    </w:p>
    <w:p>
      <w:pPr>
        <w:adjustRightInd w:val="0"/>
        <w:spacing w:line="360" w:lineRule="auto"/>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在满足价格扣除条件且在投标文件中按要求提交了《聘用建档立卡贫困人员物业公司声明函》的投标人，对最后报价给予价格扣除，用扣除后的价格参与评审。扣除比例为最后</w:t>
      </w:r>
      <w:r>
        <w:rPr>
          <w:rFonts w:hint="eastAsia" w:ascii="仿宋_GB2312" w:hAnsi="仿宋" w:eastAsia="仿宋_GB2312" w:cs="仿宋_GB2312"/>
          <w:color w:val="000000" w:themeColor="text1"/>
          <w:kern w:val="0"/>
          <w:sz w:val="24"/>
          <w14:textFill>
            <w14:solidFill>
              <w14:schemeClr w14:val="tx1"/>
            </w14:solidFill>
          </w14:textFill>
        </w:rPr>
        <w:t>报价的</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ascii="仿宋_GB2312" w:hAnsi="仿宋" w:eastAsia="仿宋_GB2312" w:cs="仿宋_GB2312"/>
          <w:color w:val="000000" w:themeColor="text1"/>
          <w:kern w:val="0"/>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w:t>
      </w:r>
    </w:p>
    <w:p>
      <w:pPr>
        <w:adjustRightInd w:val="0"/>
        <w:spacing w:line="360" w:lineRule="auto"/>
        <w:ind w:firstLine="480" w:firstLineChars="200"/>
        <w:jc w:val="left"/>
        <w:rPr>
          <w:rFonts w:ascii="仿宋_GB2312" w:hAnsi="仿宋" w:eastAsia="仿宋_GB2312" w:cs="仿宋_GB2312"/>
          <w:b/>
          <w:color w:val="000000" w:themeColor="text1"/>
          <w:kern w:val="0"/>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5.4对于列入《辽宁省创新产品和服务目录》内的产品、服务的相关规定</w:t>
      </w:r>
      <w:r>
        <w:rPr>
          <w:rFonts w:hint="eastAsia" w:ascii="仿宋_GB2312" w:hAnsi="仿宋" w:eastAsia="仿宋_GB2312" w:cs="仿宋_GB2312"/>
          <w:b/>
          <w:color w:val="000000" w:themeColor="text1"/>
          <w:kern w:val="0"/>
          <w:sz w:val="24"/>
          <w14:textFill>
            <w14:solidFill>
              <w14:schemeClr w14:val="tx1"/>
            </w14:solidFill>
          </w14:textFill>
        </w:rPr>
        <w:t>（本项目不适用）</w:t>
      </w:r>
    </w:p>
    <w:p>
      <w:pPr>
        <w:adjustRightInd w:val="0"/>
        <w:spacing w:line="360" w:lineRule="auto"/>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采用最低评标价法的：对列入《辽宁省创新产品和服务目录》内的投标产品、服务给予其投标报价</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kern w:val="0"/>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（6-8%）的价格扣除，用扣除后的价格参与评审。</w:t>
      </w:r>
    </w:p>
    <w:p>
      <w:pPr>
        <w:adjustRightInd w:val="0"/>
        <w:spacing w:line="360" w:lineRule="auto"/>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采用综合评分法评标的：对列入《辽宁省创新产品和服务目录》内的投标产品、服务给予</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kern w:val="0"/>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（6-8%）的加分（详见评分细则）。</w:t>
      </w:r>
    </w:p>
    <w:p>
      <w:pPr>
        <w:adjustRightInd w:val="0"/>
        <w:snapToGrid w:val="0"/>
        <w:spacing w:line="360" w:lineRule="auto"/>
        <w:ind w:firstLine="240" w:firstLineChars="100"/>
        <w:rPr>
          <w:rFonts w:ascii="仿宋_GB2312" w:hAnsi="仿宋" w:eastAsia="仿宋_GB2312" w:cs="仿宋_GB2312"/>
          <w:b/>
          <w:bCs/>
          <w:color w:val="000000" w:themeColor="text1"/>
          <w:kern w:val="0"/>
          <w:sz w:val="24"/>
          <w14:textFill>
            <w14:solidFill>
              <w14:schemeClr w14:val="tx1"/>
            </w14:solidFill>
          </w14:textFill>
        </w:rPr>
      </w:pPr>
      <w:r>
        <w:rPr>
          <w:rFonts w:hint="eastAsia" w:ascii="仿宋_GB2312" w:hAnsi="仿宋" w:eastAsia="仿宋_GB2312" w:cs="仿宋_GB2312"/>
          <w:b/>
          <w:color w:val="000000" w:themeColor="text1"/>
          <w:kern w:val="0"/>
          <w:sz w:val="24"/>
          <w14:textFill>
            <w14:solidFill>
              <w14:schemeClr w14:val="tx1"/>
            </w14:solidFill>
          </w14:textFill>
        </w:rPr>
        <w:t>★6</w:t>
      </w:r>
      <w:r>
        <w:rPr>
          <w:rFonts w:hint="eastAsia" w:ascii="仿宋_GB2312" w:hAnsi="仿宋" w:eastAsia="仿宋_GB2312" w:cs="仿宋_GB2312"/>
          <w:b/>
          <w:bCs/>
          <w:color w:val="000000" w:themeColor="text1"/>
          <w:kern w:val="0"/>
          <w:sz w:val="24"/>
          <w14:textFill>
            <w14:solidFill>
              <w14:schemeClr w14:val="tx1"/>
            </w14:solidFill>
          </w14:textFill>
        </w:rPr>
        <w:t>.投标无效情况详见投标人须知。</w:t>
      </w:r>
    </w:p>
    <w:p>
      <w:pPr>
        <w:adjustRightInd w:val="0"/>
        <w:snapToGrid w:val="0"/>
        <w:spacing w:line="360" w:lineRule="auto"/>
        <w:ind w:firstLine="240" w:firstLineChars="100"/>
        <w:rPr>
          <w:rFonts w:ascii="仿宋_GB2312" w:hAnsi="仿宋" w:eastAsia="仿宋_GB2312" w:cs="仿宋_GB2312"/>
          <w:b/>
          <w:bCs/>
          <w:color w:val="000000" w:themeColor="text1"/>
          <w:kern w:val="0"/>
          <w:sz w:val="24"/>
          <w14:textFill>
            <w14:solidFill>
              <w14:schemeClr w14:val="tx1"/>
            </w14:solidFill>
          </w14:textFill>
        </w:rPr>
      </w:pPr>
      <w:r>
        <w:rPr>
          <w:rFonts w:hint="eastAsia" w:ascii="仿宋_GB2312" w:hAnsi="仿宋" w:eastAsia="仿宋_GB2312" w:cs="仿宋_GB2312"/>
          <w:b/>
          <w:color w:val="000000" w:themeColor="text1"/>
          <w:kern w:val="0"/>
          <w:sz w:val="24"/>
          <w14:textFill>
            <w14:solidFill>
              <w14:schemeClr w14:val="tx1"/>
            </w14:solidFill>
          </w14:textFill>
        </w:rPr>
        <w:t>★7</w:t>
      </w:r>
      <w:r>
        <w:rPr>
          <w:rFonts w:hint="eastAsia" w:ascii="仿宋_GB2312" w:hAnsi="仿宋" w:eastAsia="仿宋_GB2312" w:cs="仿宋_GB2312"/>
          <w:b/>
          <w:bCs/>
          <w:color w:val="000000" w:themeColor="text1"/>
          <w:kern w:val="0"/>
          <w:sz w:val="24"/>
          <w14:textFill>
            <w14:solidFill>
              <w14:schemeClr w14:val="tx1"/>
            </w14:solidFill>
          </w14:textFill>
        </w:rPr>
        <w:t>.推荐中标候选人的原则</w:t>
      </w:r>
    </w:p>
    <w:p>
      <w:pPr>
        <w:adjustRightInd w:val="0"/>
        <w:snapToGri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详见第一章投标人须知第29条，具体处理办法如下：</w:t>
      </w:r>
    </w:p>
    <w:p>
      <w:pPr>
        <w:numPr>
          <w:ilvl w:val="0"/>
          <w:numId w:val="10"/>
        </w:num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采用最低评标价法的（本项目不适用）：</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扣除后的投标报价相同时，按投标报价由低至高排序；</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按前款不能区分的，按技术指标优劣排序；</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其他情况，由评标委员会投票处理。</w:t>
      </w:r>
    </w:p>
    <w:p>
      <w:pPr>
        <w:numPr>
          <w:ilvl w:val="0"/>
          <w:numId w:val="10"/>
        </w:num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采用综合评分法的：</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得分相同的，按扣除后的投标报价由低到高顺序排序；</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按前款不能区分的，按投标报价由低至高顺序排序；</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按前款不能区分的，按技术指标优劣排序；</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其他情况，由评标委员会投票处理。</w:t>
      </w:r>
    </w:p>
    <w:p>
      <w:pPr>
        <w:adjustRightInd w:val="0"/>
        <w:snapToGrid w:val="0"/>
        <w:spacing w:line="360" w:lineRule="auto"/>
        <w:ind w:firstLine="480" w:firstLineChars="200"/>
        <w:rPr>
          <w:rFonts w:ascii="仿宋_GB2312" w:hAnsi="仿宋" w:eastAsia="仿宋_GB2312" w:cs="仿宋_GB2312"/>
          <w:b/>
          <w:color w:val="000000" w:themeColor="text1"/>
          <w:kern w:val="0"/>
          <w:sz w:val="24"/>
          <w14:textFill>
            <w14:solidFill>
              <w14:schemeClr w14:val="tx1"/>
            </w14:solidFill>
          </w14:textFill>
        </w:rPr>
      </w:pPr>
      <w:bookmarkStart w:id="125" w:name="_Toc30297_WPSOffice_Level2"/>
      <w:r>
        <w:rPr>
          <w:rFonts w:hint="eastAsia" w:ascii="仿宋_GB2312" w:hAnsi="仿宋" w:eastAsia="仿宋_GB2312" w:cs="仿宋_GB2312"/>
          <w:b/>
          <w:color w:val="000000" w:themeColor="text1"/>
          <w:sz w:val="24"/>
          <w14:textFill>
            <w14:solidFill>
              <w14:schemeClr w14:val="tx1"/>
            </w14:solidFill>
          </w14:textFill>
        </w:rPr>
        <w:t>三、</w:t>
      </w:r>
      <w:r>
        <w:rPr>
          <w:rFonts w:hint="eastAsia" w:ascii="仿宋_GB2312" w:hAnsi="仿宋" w:eastAsia="仿宋_GB2312" w:cs="仿宋_GB2312"/>
          <w:b/>
          <w:color w:val="000000" w:themeColor="text1"/>
          <w:kern w:val="0"/>
          <w:sz w:val="24"/>
          <w14:textFill>
            <w14:solidFill>
              <w14:schemeClr w14:val="tx1"/>
            </w14:solidFill>
          </w14:textFill>
        </w:rPr>
        <w:t>确定中标人</w:t>
      </w:r>
      <w:bookmarkEnd w:id="125"/>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评标委员会根据全体评标委员会成员签字的原始评标记录和评标结果编写评标报告，并向采购人提交书面评标报告。</w:t>
      </w:r>
    </w:p>
    <w:p>
      <w:pPr>
        <w:adjustRightInd w:val="0"/>
        <w:snapToGri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采购人按照评标报告确定的中标候选人名单按顺序确定中标人，或由采购人委托评标委员会按照第一章投标人须知第31条规定的方式确定中标人。</w:t>
      </w:r>
    </w:p>
    <w:p>
      <w:pPr>
        <w:adjustRightInd w:val="0"/>
        <w:snapToGrid w:val="0"/>
        <w:spacing w:line="360" w:lineRule="auto"/>
        <w:ind w:firstLine="480" w:firstLineChars="2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注：1. 评标委员会采用综合评分法对通过初审投标人的投标文件进行综合评分；</w:t>
      </w:r>
    </w:p>
    <w:p>
      <w:pPr>
        <w:adjustRightInd w:val="0"/>
        <w:snapToGrid w:val="0"/>
        <w:spacing w:line="360" w:lineRule="auto"/>
        <w:ind w:firstLine="960" w:firstLineChars="400"/>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2. 评分计算保留2位小数（四舍五入）；</w:t>
      </w:r>
    </w:p>
    <w:p>
      <w:pPr>
        <w:adjustRightInd w:val="0"/>
        <w:snapToGrid w:val="0"/>
        <w:spacing w:line="360" w:lineRule="auto"/>
        <w:ind w:firstLine="960" w:firstLineChars="4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3. 评标中遇到的其它问题，由评标委员会集体研究处理。</w:t>
      </w:r>
    </w:p>
    <w:p>
      <w:pPr>
        <w:pStyle w:val="3"/>
        <w:adjustRightInd w:val="0"/>
        <w:snapToGrid w:val="0"/>
        <w:spacing w:before="0" w:after="0" w:line="240" w:lineRule="auto"/>
        <w:jc w:val="left"/>
        <w:rPr>
          <w:rFonts w:ascii="仿宋_GB2312" w:hAnsi="仿宋" w:eastAsia="仿宋_GB2312" w:cs="仿宋_GB2312"/>
          <w:color w:val="000000" w:themeColor="text1"/>
          <w:szCs w:val="28"/>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br w:type="page"/>
      </w:r>
      <w:bookmarkStart w:id="126" w:name="_Toc32318_WPSOffice_Level2"/>
      <w:r>
        <w:rPr>
          <w:rFonts w:hint="eastAsia" w:ascii="仿宋_GB2312" w:hAnsi="仿宋" w:eastAsia="仿宋_GB2312" w:cs="仿宋_GB2312"/>
          <w:color w:val="000000" w:themeColor="text1"/>
          <w:szCs w:val="28"/>
          <w14:textFill>
            <w14:solidFill>
              <w14:schemeClr w14:val="tx1"/>
            </w14:solidFill>
          </w14:textFill>
        </w:rPr>
        <w:t xml:space="preserve">附件1                   </w:t>
      </w:r>
      <w:bookmarkEnd w:id="126"/>
    </w:p>
    <w:p>
      <w:pPr>
        <w:snapToGrid w:val="0"/>
        <w:jc w:val="center"/>
        <w:rPr>
          <w:rFonts w:ascii="方正小标宋简体" w:hAnsi="仿宋" w:eastAsia="方正小标宋简体" w:cs="仿宋_GB2312"/>
          <w:bCs/>
          <w:color w:val="000000" w:themeColor="text1"/>
          <w:sz w:val="32"/>
          <w:szCs w:val="32"/>
          <w14:textFill>
            <w14:solidFill>
              <w14:schemeClr w14:val="tx1"/>
            </w14:solidFill>
          </w14:textFill>
        </w:rPr>
      </w:pPr>
      <w:r>
        <w:rPr>
          <w:rFonts w:hint="eastAsia" w:ascii="方正小标宋简体" w:hAnsi="仿宋" w:eastAsia="方正小标宋简体" w:cs="仿宋_GB2312"/>
          <w:bCs/>
          <w:color w:val="000000" w:themeColor="text1"/>
          <w:sz w:val="32"/>
          <w:szCs w:val="32"/>
          <w14:textFill>
            <w14:solidFill>
              <w14:schemeClr w14:val="tx1"/>
            </w14:solidFill>
          </w14:textFill>
        </w:rPr>
        <w:t>资格性审查表</w:t>
      </w:r>
    </w:p>
    <w:tbl>
      <w:tblPr>
        <w:tblStyle w:val="20"/>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3861"/>
        <w:gridCol w:w="3119"/>
        <w:gridCol w:w="567"/>
        <w:gridCol w:w="567"/>
        <w:gridCol w:w="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46" w:type="dxa"/>
            <w:vMerge w:val="restart"/>
            <w:vAlign w:val="center"/>
          </w:tcPr>
          <w:p>
            <w:pPr>
              <w:snapToGrid w:val="0"/>
              <w:ind w:left="-96" w:leftChars="-46" w:right="-86" w:rightChars="-41"/>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序号</w:t>
            </w:r>
          </w:p>
        </w:tc>
        <w:tc>
          <w:tcPr>
            <w:tcW w:w="3861" w:type="dxa"/>
            <w:vMerge w:val="restart"/>
            <w:vAlign w:val="center"/>
          </w:tcPr>
          <w:p>
            <w:pPr>
              <w:pStyle w:val="3"/>
              <w:adjustRightInd w:val="0"/>
              <w:snapToGrid w:val="0"/>
              <w:spacing w:before="0" w:after="0" w:line="240" w:lineRule="auto"/>
              <w:ind w:left="-96" w:leftChars="-46" w:right="-86" w:rightChars="-41"/>
              <w:rPr>
                <w:rFonts w:ascii="仿宋_GB2312" w:hAnsi="仿宋" w:eastAsia="仿宋_GB2312" w:cs="仿宋_GB2312"/>
                <w:b w:val="0"/>
                <w:color w:val="000000" w:themeColor="text1"/>
                <w:sz w:val="24"/>
                <w14:textFill>
                  <w14:solidFill>
                    <w14:schemeClr w14:val="tx1"/>
                  </w14:solidFill>
                </w14:textFill>
              </w:rPr>
            </w:pPr>
            <w:r>
              <w:rPr>
                <w:rFonts w:hint="eastAsia" w:ascii="仿宋_GB2312" w:hAnsi="仿宋" w:eastAsia="仿宋_GB2312" w:cs="仿宋_GB2312"/>
                <w:b w:val="0"/>
                <w:color w:val="000000" w:themeColor="text1"/>
                <w:sz w:val="24"/>
                <w14:textFill>
                  <w14:solidFill>
                    <w14:schemeClr w14:val="tx1"/>
                  </w14:solidFill>
                </w14:textFill>
              </w:rPr>
              <w:t>审查项目</w:t>
            </w:r>
          </w:p>
        </w:tc>
        <w:tc>
          <w:tcPr>
            <w:tcW w:w="3119" w:type="dxa"/>
            <w:vMerge w:val="restart"/>
            <w:vAlign w:val="center"/>
          </w:tcPr>
          <w:p>
            <w:pPr>
              <w:pStyle w:val="3"/>
              <w:adjustRightInd w:val="0"/>
              <w:snapToGrid w:val="0"/>
              <w:spacing w:before="0" w:after="0" w:line="240" w:lineRule="auto"/>
              <w:ind w:left="-96" w:leftChars="-46" w:right="-86" w:rightChars="-41"/>
              <w:rPr>
                <w:rFonts w:ascii="仿宋_GB2312" w:hAnsi="仿宋" w:eastAsia="仿宋_GB2312" w:cs="仿宋_GB2312"/>
                <w:b w:val="0"/>
                <w:color w:val="000000" w:themeColor="text1"/>
                <w:sz w:val="24"/>
                <w14:textFill>
                  <w14:solidFill>
                    <w14:schemeClr w14:val="tx1"/>
                  </w14:solidFill>
                </w14:textFill>
              </w:rPr>
            </w:pPr>
            <w:r>
              <w:rPr>
                <w:rFonts w:hint="eastAsia" w:ascii="仿宋_GB2312" w:hAnsi="仿宋" w:eastAsia="仿宋_GB2312" w:cs="仿宋_GB2312"/>
                <w:b w:val="0"/>
                <w:color w:val="000000" w:themeColor="text1"/>
                <w:sz w:val="24"/>
                <w14:textFill>
                  <w14:solidFill>
                    <w14:schemeClr w14:val="tx1"/>
                  </w14:solidFill>
                </w14:textFill>
              </w:rPr>
              <w:t>审查标准</w:t>
            </w:r>
          </w:p>
        </w:tc>
        <w:tc>
          <w:tcPr>
            <w:tcW w:w="1650" w:type="dxa"/>
            <w:gridSpan w:val="3"/>
            <w:vAlign w:val="center"/>
          </w:tcPr>
          <w:p>
            <w:pPr>
              <w:pStyle w:val="3"/>
              <w:adjustRightInd w:val="0"/>
              <w:snapToGrid w:val="0"/>
              <w:spacing w:before="0" w:after="0" w:line="240" w:lineRule="auto"/>
              <w:ind w:left="-96" w:leftChars="-46" w:right="-86" w:rightChars="-41"/>
              <w:rPr>
                <w:rFonts w:ascii="仿宋_GB2312" w:hAnsi="仿宋" w:eastAsia="仿宋_GB2312" w:cs="仿宋_GB2312"/>
                <w:b w:val="0"/>
                <w:color w:val="000000" w:themeColor="text1"/>
                <w:sz w:val="24"/>
                <w14:textFill>
                  <w14:solidFill>
                    <w14:schemeClr w14:val="tx1"/>
                  </w14:solidFill>
                </w14:textFill>
              </w:rPr>
            </w:pPr>
            <w:r>
              <w:rPr>
                <w:rFonts w:hint="eastAsia" w:ascii="仿宋_GB2312" w:hAnsi="仿宋" w:eastAsia="仿宋_GB2312" w:cs="仿宋_GB2312"/>
                <w:b w:val="0"/>
                <w:color w:val="000000" w:themeColor="text1"/>
                <w:sz w:val="24"/>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546" w:type="dxa"/>
            <w:vMerge w:val="continue"/>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3861" w:type="dxa"/>
            <w:vMerge w:val="continue"/>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3119" w:type="dxa"/>
            <w:vMerge w:val="continue"/>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67"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67"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16"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1</w:t>
            </w:r>
          </w:p>
        </w:tc>
        <w:tc>
          <w:tcPr>
            <w:tcW w:w="3861" w:type="dxa"/>
            <w:vAlign w:val="center"/>
          </w:tcPr>
          <w:p>
            <w:pPr>
              <w:snapToGrid w:val="0"/>
              <w:jc w:val="left"/>
              <w:rPr>
                <w:rFonts w:ascii="仿宋_GB2312" w:hAnsi="仿宋" w:eastAsia="仿宋_GB2312" w:cs="仿宋_GB2312"/>
                <w:b/>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营业执照或事业单位法人证书或执业许可证等证明文件或自然人的身份证明</w:t>
            </w:r>
          </w:p>
        </w:tc>
        <w:tc>
          <w:tcPr>
            <w:tcW w:w="3119" w:type="dxa"/>
            <w:vAlign w:val="center"/>
          </w:tcPr>
          <w:p>
            <w:pPr>
              <w:pStyle w:val="3"/>
              <w:adjustRightInd w:val="0"/>
              <w:snapToGrid w:val="0"/>
              <w:spacing w:before="0" w:after="0" w:line="240" w:lineRule="auto"/>
              <w:jc w:val="left"/>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1.按要求提供</w:t>
            </w:r>
          </w:p>
          <w:p>
            <w:pPr>
              <w:pStyle w:val="3"/>
              <w:adjustRightInd w:val="0"/>
              <w:snapToGrid w:val="0"/>
              <w:spacing w:before="0" w:after="0" w:line="240" w:lineRule="auto"/>
              <w:jc w:val="left"/>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2.合法有效</w:t>
            </w:r>
          </w:p>
        </w:tc>
        <w:tc>
          <w:tcPr>
            <w:tcW w:w="567"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67"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16"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6" w:type="dxa"/>
            <w:vAlign w:val="center"/>
          </w:tcPr>
          <w:p>
            <w:pPr>
              <w:widowControl/>
              <w:snapToGrid w:val="0"/>
              <w:jc w:val="cente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2</w:t>
            </w:r>
          </w:p>
        </w:tc>
        <w:tc>
          <w:tcPr>
            <w:tcW w:w="3861" w:type="dxa"/>
            <w:vAlign w:val="center"/>
          </w:tcPr>
          <w:p>
            <w:pPr>
              <w:widowControl/>
              <w:snapToGrid w:val="0"/>
              <w:jc w:val="left"/>
              <w:rPr>
                <w:rFonts w:ascii="仿宋_GB2312" w:hAnsi="仿宋" w:eastAsia="仿宋_GB2312" w:cs="仿宋_GB2312"/>
                <w:b/>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法定代表人（或非法人组织负责人）身份证明书</w:t>
            </w:r>
          </w:p>
        </w:tc>
        <w:tc>
          <w:tcPr>
            <w:tcW w:w="3119" w:type="dxa"/>
          </w:tcPr>
          <w:p>
            <w:pPr>
              <w:pStyle w:val="3"/>
              <w:adjustRightInd w:val="0"/>
              <w:snapToGrid w:val="0"/>
              <w:spacing w:before="0" w:after="0" w:line="240" w:lineRule="auto"/>
              <w:jc w:val="left"/>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1.按给定格式填写</w:t>
            </w:r>
          </w:p>
          <w:p>
            <w:pPr>
              <w:pStyle w:val="3"/>
              <w:adjustRightInd w:val="0"/>
              <w:snapToGrid w:val="0"/>
              <w:spacing w:before="0" w:after="0" w:line="240" w:lineRule="auto"/>
              <w:jc w:val="left"/>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2.按规定签章</w:t>
            </w:r>
          </w:p>
        </w:tc>
        <w:tc>
          <w:tcPr>
            <w:tcW w:w="567"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67"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16"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6" w:type="dxa"/>
            <w:vAlign w:val="center"/>
          </w:tcPr>
          <w:p>
            <w:pPr>
              <w:widowControl/>
              <w:snapToGrid w:val="0"/>
              <w:jc w:val="cente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3</w:t>
            </w:r>
          </w:p>
        </w:tc>
        <w:tc>
          <w:tcPr>
            <w:tcW w:w="3861" w:type="dxa"/>
            <w:vAlign w:val="center"/>
          </w:tcPr>
          <w:p>
            <w:pPr>
              <w:widowControl/>
              <w:snapToGrid w:val="0"/>
              <w:jc w:val="left"/>
              <w:rPr>
                <w:rFonts w:ascii="仿宋_GB2312" w:hAnsi="仿宋" w:eastAsia="仿宋_GB2312" w:cs="仿宋_GB2312"/>
                <w:b/>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法定代表人（或非法人组织负责人）授权委托书（授权委托人参加投标的须提供）</w:t>
            </w:r>
          </w:p>
        </w:tc>
        <w:tc>
          <w:tcPr>
            <w:tcW w:w="3119" w:type="dxa"/>
            <w:vAlign w:val="center"/>
          </w:tcPr>
          <w:p>
            <w:pPr>
              <w:pStyle w:val="3"/>
              <w:adjustRightInd w:val="0"/>
              <w:snapToGrid w:val="0"/>
              <w:spacing w:before="0" w:after="0" w:line="240" w:lineRule="auto"/>
              <w:jc w:val="both"/>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1.按给定格式填写</w:t>
            </w:r>
          </w:p>
          <w:p>
            <w:pPr>
              <w:pStyle w:val="3"/>
              <w:adjustRightInd w:val="0"/>
              <w:snapToGrid w:val="0"/>
              <w:spacing w:before="0" w:after="0" w:line="240" w:lineRule="auto"/>
              <w:jc w:val="both"/>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2.按规定签章</w:t>
            </w:r>
          </w:p>
        </w:tc>
        <w:tc>
          <w:tcPr>
            <w:tcW w:w="567"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67"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16"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widowControl/>
              <w:snapToGrid w:val="0"/>
              <w:jc w:val="cente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4</w:t>
            </w:r>
          </w:p>
        </w:tc>
        <w:tc>
          <w:tcPr>
            <w:tcW w:w="3861" w:type="dxa"/>
            <w:vAlign w:val="center"/>
          </w:tcPr>
          <w:p>
            <w:pPr>
              <w:widowControl/>
              <w:snapToGrid w:val="0"/>
              <w:jc w:val="left"/>
              <w:rPr>
                <w:rFonts w:ascii="仿宋_GB2312" w:hAnsi="仿宋" w:eastAsia="仿宋_GB2312" w:cs="仿宋_GB2312"/>
                <w:b/>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具有良好的商业信誉和健全的财务会计制度的承诺函</w:t>
            </w:r>
          </w:p>
        </w:tc>
        <w:tc>
          <w:tcPr>
            <w:tcW w:w="3119" w:type="dxa"/>
            <w:vAlign w:val="center"/>
          </w:tcPr>
          <w:p>
            <w:pPr>
              <w:pStyle w:val="3"/>
              <w:adjustRightInd w:val="0"/>
              <w:snapToGrid w:val="0"/>
              <w:spacing w:before="0" w:after="0" w:line="240" w:lineRule="auto"/>
              <w:jc w:val="left"/>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1.信息完整</w:t>
            </w:r>
          </w:p>
          <w:p>
            <w:pPr>
              <w:pStyle w:val="3"/>
              <w:adjustRightInd w:val="0"/>
              <w:snapToGrid w:val="0"/>
              <w:spacing w:before="0" w:after="0" w:line="240" w:lineRule="auto"/>
              <w:jc w:val="left"/>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2.按规定签章</w:t>
            </w:r>
          </w:p>
        </w:tc>
        <w:tc>
          <w:tcPr>
            <w:tcW w:w="567"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67"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16"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widowControl/>
              <w:snapToGrid w:val="0"/>
              <w:jc w:val="cente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5</w:t>
            </w:r>
          </w:p>
        </w:tc>
        <w:tc>
          <w:tcPr>
            <w:tcW w:w="3861" w:type="dxa"/>
            <w:vAlign w:val="center"/>
          </w:tcPr>
          <w:p>
            <w:pPr>
              <w:widowControl/>
              <w:snapToGrid w:val="0"/>
              <w:jc w:val="left"/>
              <w:rPr>
                <w:rFonts w:ascii="仿宋_GB2312" w:hAnsi="仿宋" w:eastAsia="仿宋_GB2312" w:cs="仿宋_GB2312"/>
                <w:b/>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开标时间前六个月内任一个月的依法缴纳税收的缴款凭据</w:t>
            </w:r>
            <w:r>
              <w:rPr>
                <w:rFonts w:hint="eastAsia" w:ascii="仿宋_GB2312" w:hAnsi="仿宋" w:eastAsia="仿宋_GB2312" w:cs="仿宋_GB2312"/>
                <w:b/>
                <w:bCs/>
                <w:color w:val="000000" w:themeColor="text1"/>
                <w:sz w:val="22"/>
                <w:szCs w:val="22"/>
                <w14:textFill>
                  <w14:solidFill>
                    <w14:schemeClr w14:val="tx1"/>
                  </w14:solidFill>
                </w14:textFill>
              </w:rPr>
              <w:t>（增值税等）</w:t>
            </w:r>
            <w:r>
              <w:rPr>
                <w:rFonts w:hint="eastAsia" w:ascii="仿宋_GB2312" w:hAnsi="仿宋" w:eastAsia="仿宋_GB2312" w:cs="仿宋_GB2312"/>
                <w:color w:val="000000" w:themeColor="text1"/>
                <w:sz w:val="22"/>
                <w:szCs w:val="22"/>
                <w14:textFill>
                  <w14:solidFill>
                    <w14:schemeClr w14:val="tx1"/>
                  </w14:solidFill>
                </w14:textFill>
              </w:rPr>
              <w:t>复印件（注：依法免税的投标人，应提供相关证明材料，包括相关法规要求原文及加盖单位公章的情况说明）</w:t>
            </w:r>
          </w:p>
        </w:tc>
        <w:tc>
          <w:tcPr>
            <w:tcW w:w="3119" w:type="dxa"/>
            <w:vAlign w:val="center"/>
          </w:tcPr>
          <w:p>
            <w:pPr>
              <w:pStyle w:val="3"/>
              <w:adjustRightInd w:val="0"/>
              <w:snapToGrid w:val="0"/>
              <w:spacing w:before="0" w:after="0" w:line="240" w:lineRule="auto"/>
              <w:jc w:val="left"/>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1.按要求提供</w:t>
            </w:r>
          </w:p>
          <w:p>
            <w:pPr>
              <w:pStyle w:val="3"/>
              <w:adjustRightInd w:val="0"/>
              <w:snapToGrid w:val="0"/>
              <w:spacing w:before="0" w:after="0" w:line="240" w:lineRule="auto"/>
              <w:jc w:val="left"/>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2.合法有效</w:t>
            </w:r>
          </w:p>
        </w:tc>
        <w:tc>
          <w:tcPr>
            <w:tcW w:w="567"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67"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16"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46" w:type="dxa"/>
            <w:vAlign w:val="center"/>
          </w:tcPr>
          <w:p>
            <w:pPr>
              <w:widowControl/>
              <w:snapToGrid w:val="0"/>
              <w:jc w:val="cente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6</w:t>
            </w:r>
          </w:p>
        </w:tc>
        <w:tc>
          <w:tcPr>
            <w:tcW w:w="3861" w:type="dxa"/>
            <w:vAlign w:val="center"/>
          </w:tcPr>
          <w:p>
            <w:pPr>
              <w:widowControl/>
              <w:snapToGrid w:val="0"/>
              <w:jc w:val="left"/>
              <w:rPr>
                <w:rFonts w:ascii="仿宋_GB2312" w:hAnsi="仿宋" w:eastAsia="仿宋_GB2312" w:cs="仿宋_GB2312"/>
                <w:b/>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开标时间前六个月内任一个月的依法缴纳社会保障资金的缴款凭据（注：依法不需要缴纳社会保障资金的投标人，应提供相关证明材料，包括相关法规要求原文及加盖单位公章的情况说明）</w:t>
            </w:r>
          </w:p>
        </w:tc>
        <w:tc>
          <w:tcPr>
            <w:tcW w:w="3119" w:type="dxa"/>
            <w:vAlign w:val="center"/>
          </w:tcPr>
          <w:p>
            <w:pPr>
              <w:pStyle w:val="3"/>
              <w:adjustRightInd w:val="0"/>
              <w:snapToGrid w:val="0"/>
              <w:spacing w:before="0" w:after="0" w:line="240" w:lineRule="auto"/>
              <w:jc w:val="left"/>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1.按要求提供</w:t>
            </w:r>
          </w:p>
          <w:p>
            <w:pPr>
              <w:pStyle w:val="3"/>
              <w:adjustRightInd w:val="0"/>
              <w:snapToGrid w:val="0"/>
              <w:spacing w:before="0" w:after="0" w:line="240" w:lineRule="auto"/>
              <w:jc w:val="left"/>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2.合法有效</w:t>
            </w:r>
          </w:p>
        </w:tc>
        <w:tc>
          <w:tcPr>
            <w:tcW w:w="567"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67"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16"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7</w:t>
            </w:r>
          </w:p>
        </w:tc>
        <w:tc>
          <w:tcPr>
            <w:tcW w:w="3861" w:type="dxa"/>
            <w:vAlign w:val="center"/>
          </w:tcPr>
          <w:p>
            <w:pPr>
              <w:snapToGrid w:val="0"/>
              <w:jc w:val="left"/>
              <w:rPr>
                <w:rFonts w:ascii="仿宋_GB2312" w:hAnsi="仿宋" w:eastAsia="仿宋_GB2312" w:cs="仿宋_GB2312"/>
                <w:b/>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具备履行合同所必需的设备和专业技术能力声明函</w:t>
            </w:r>
          </w:p>
        </w:tc>
        <w:tc>
          <w:tcPr>
            <w:tcW w:w="3119" w:type="dxa"/>
          </w:tcPr>
          <w:p>
            <w:pPr>
              <w:pStyle w:val="3"/>
              <w:adjustRightInd w:val="0"/>
              <w:snapToGrid w:val="0"/>
              <w:spacing w:before="0" w:after="0" w:line="240" w:lineRule="auto"/>
              <w:jc w:val="left"/>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1.信息完整</w:t>
            </w:r>
          </w:p>
          <w:p>
            <w:pPr>
              <w:pStyle w:val="3"/>
              <w:adjustRightInd w:val="0"/>
              <w:snapToGrid w:val="0"/>
              <w:spacing w:before="0" w:after="0" w:line="240" w:lineRule="auto"/>
              <w:jc w:val="left"/>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2.按规定签章</w:t>
            </w:r>
          </w:p>
        </w:tc>
        <w:tc>
          <w:tcPr>
            <w:tcW w:w="567"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67"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16"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546" w:type="dxa"/>
            <w:vAlign w:val="center"/>
          </w:tcPr>
          <w:p>
            <w:pPr>
              <w:snapToGrid w:val="0"/>
              <w:jc w:val="cente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8</w:t>
            </w:r>
          </w:p>
        </w:tc>
        <w:tc>
          <w:tcPr>
            <w:tcW w:w="3861" w:type="dxa"/>
            <w:vAlign w:val="center"/>
          </w:tcPr>
          <w:p>
            <w:pPr>
              <w:snapToGrid w:val="0"/>
              <w:jc w:val="left"/>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参加政府采购活动前3年内在经营活动中没有重大违法记录的书面声明</w:t>
            </w:r>
          </w:p>
        </w:tc>
        <w:tc>
          <w:tcPr>
            <w:tcW w:w="3119" w:type="dxa"/>
            <w:vAlign w:val="center"/>
          </w:tcPr>
          <w:p>
            <w:pPr>
              <w:pStyle w:val="3"/>
              <w:adjustRightInd w:val="0"/>
              <w:snapToGrid w:val="0"/>
              <w:spacing w:before="0" w:after="0" w:line="300" w:lineRule="exact"/>
              <w:jc w:val="left"/>
              <w:rPr>
                <w:rFonts w:ascii="仿宋_GB2312" w:hAnsi="仿宋" w:eastAsia="仿宋_GB2312" w:cs="仿宋_GB2312"/>
                <w:b w:val="0"/>
                <w:color w:val="000000" w:themeColor="text1"/>
                <w:sz w:val="22"/>
                <w:szCs w:val="22"/>
                <w14:textFill>
                  <w14:solidFill>
                    <w14:schemeClr w14:val="tx1"/>
                  </w14:solidFill>
                </w14:textFill>
              </w:rPr>
            </w:pPr>
            <w:bookmarkStart w:id="127" w:name="_Toc533340192"/>
            <w:bookmarkStart w:id="128" w:name="_Toc4485668"/>
            <w:r>
              <w:rPr>
                <w:rFonts w:hint="eastAsia" w:ascii="仿宋_GB2312" w:hAnsi="仿宋" w:eastAsia="仿宋_GB2312" w:cs="仿宋_GB2312"/>
                <w:b w:val="0"/>
                <w:color w:val="000000" w:themeColor="text1"/>
                <w:sz w:val="22"/>
                <w:szCs w:val="22"/>
                <w14:textFill>
                  <w14:solidFill>
                    <w14:schemeClr w14:val="tx1"/>
                  </w14:solidFill>
                </w14:textFill>
              </w:rPr>
              <w:t>1.按给定格式填写</w:t>
            </w:r>
            <w:bookmarkEnd w:id="127"/>
            <w:bookmarkEnd w:id="128"/>
          </w:p>
          <w:p>
            <w:pPr>
              <w:pStyle w:val="3"/>
              <w:adjustRightInd w:val="0"/>
              <w:snapToGrid w:val="0"/>
              <w:spacing w:before="0" w:after="0" w:line="300" w:lineRule="exact"/>
              <w:jc w:val="left"/>
              <w:rPr>
                <w:rFonts w:ascii="仿宋_GB2312" w:hAnsi="仿宋" w:eastAsia="仿宋_GB2312" w:cs="仿宋_GB2312"/>
                <w:b w:val="0"/>
                <w:color w:val="000000" w:themeColor="text1"/>
                <w:sz w:val="22"/>
                <w:szCs w:val="22"/>
                <w14:textFill>
                  <w14:solidFill>
                    <w14:schemeClr w14:val="tx1"/>
                  </w14:solidFill>
                </w14:textFill>
              </w:rPr>
            </w:pPr>
            <w:bookmarkStart w:id="129" w:name="_Toc533340193"/>
            <w:bookmarkStart w:id="130" w:name="_Toc4485669"/>
            <w:r>
              <w:rPr>
                <w:rFonts w:hint="eastAsia" w:ascii="仿宋_GB2312" w:hAnsi="仿宋" w:eastAsia="仿宋_GB2312" w:cs="仿宋_GB2312"/>
                <w:b w:val="0"/>
                <w:color w:val="000000" w:themeColor="text1"/>
                <w:sz w:val="22"/>
                <w:szCs w:val="22"/>
                <w14:textFill>
                  <w14:solidFill>
                    <w14:schemeClr w14:val="tx1"/>
                  </w14:solidFill>
                </w14:textFill>
              </w:rPr>
              <w:t>2.按规定签章</w:t>
            </w:r>
            <w:bookmarkEnd w:id="129"/>
            <w:bookmarkEnd w:id="130"/>
          </w:p>
          <w:p>
            <w:pPr>
              <w:spacing w:line="300" w:lineRule="exact"/>
              <w:jc w:val="left"/>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3.提供中国政府采购网官网（</w:t>
            </w:r>
            <w:r>
              <w:fldChar w:fldCharType="begin"/>
            </w:r>
            <w:r>
              <w:instrText xml:space="preserve"> HYPERLINK "http://www" </w:instrText>
            </w:r>
            <w:r>
              <w:fldChar w:fldCharType="separate"/>
            </w:r>
            <w:r>
              <w:rPr>
                <w:rFonts w:hint="eastAsia" w:ascii="仿宋_GB2312" w:eastAsia="仿宋_GB2312"/>
                <w:color w:val="000000" w:themeColor="text1"/>
                <w:sz w:val="22"/>
                <w:szCs w:val="22"/>
                <w14:textFill>
                  <w14:solidFill>
                    <w14:schemeClr w14:val="tx1"/>
                  </w14:solidFill>
                </w14:textFill>
              </w:rPr>
              <w:t>http://www</w:t>
            </w:r>
            <w:r>
              <w:rPr>
                <w:rFonts w:hint="eastAsia" w:ascii="仿宋_GB2312" w:eastAsia="仿宋_GB2312"/>
                <w:color w:val="000000" w:themeColor="text1"/>
                <w:sz w:val="22"/>
                <w:szCs w:val="22"/>
                <w14:textFill>
                  <w14:solidFill>
                    <w14:schemeClr w14:val="tx1"/>
                  </w14:solidFill>
                </w14:textFill>
              </w:rPr>
              <w:fldChar w:fldCharType="end"/>
            </w:r>
            <w:r>
              <w:rPr>
                <w:rFonts w:hint="eastAsia" w:ascii="仿宋_GB2312" w:hAnsi="仿宋" w:eastAsia="仿宋_GB2312" w:cs="仿宋_GB2312"/>
                <w:color w:val="000000" w:themeColor="text1"/>
                <w:sz w:val="22"/>
                <w:szCs w:val="22"/>
                <w14:textFill>
                  <w14:solidFill>
                    <w14:schemeClr w14:val="tx1"/>
                  </w14:solidFill>
                </w14:textFill>
              </w:rPr>
              <w:t>.ccgp.gov.cn/cr/list）和信用中国官网（</w:t>
            </w:r>
            <w:r>
              <w:fldChar w:fldCharType="begin"/>
            </w:r>
            <w:r>
              <w:instrText xml:space="preserve"> HYPERLINK "http://www" </w:instrText>
            </w:r>
            <w:r>
              <w:fldChar w:fldCharType="separate"/>
            </w:r>
            <w:r>
              <w:rPr>
                <w:rFonts w:hint="eastAsia" w:ascii="仿宋_GB2312" w:eastAsia="仿宋_GB2312"/>
                <w:color w:val="000000" w:themeColor="text1"/>
                <w:sz w:val="22"/>
                <w:szCs w:val="22"/>
                <w14:textFill>
                  <w14:solidFill>
                    <w14:schemeClr w14:val="tx1"/>
                  </w14:solidFill>
                </w14:textFill>
              </w:rPr>
              <w:t>http://www</w:t>
            </w:r>
            <w:r>
              <w:rPr>
                <w:rFonts w:hint="eastAsia" w:ascii="仿宋_GB2312" w:eastAsia="仿宋_GB2312"/>
                <w:color w:val="000000" w:themeColor="text1"/>
                <w:sz w:val="22"/>
                <w:szCs w:val="22"/>
                <w14:textFill>
                  <w14:solidFill>
                    <w14:schemeClr w14:val="tx1"/>
                  </w14:solidFill>
                </w14:textFill>
              </w:rPr>
              <w:fldChar w:fldCharType="end"/>
            </w:r>
            <w:r>
              <w:rPr>
                <w:rFonts w:hint="eastAsia" w:ascii="仿宋_GB2312" w:hAnsi="仿宋" w:eastAsia="仿宋_GB2312" w:cs="仿宋_GB2312"/>
                <w:color w:val="000000" w:themeColor="text1"/>
                <w:sz w:val="22"/>
                <w:szCs w:val="22"/>
                <w14:textFill>
                  <w14:solidFill>
                    <w14:schemeClr w14:val="tx1"/>
                  </w14:solidFill>
                </w14:textFill>
              </w:rPr>
              <w:t>.creditchina.gov.cn/）查询截图</w:t>
            </w:r>
          </w:p>
        </w:tc>
        <w:tc>
          <w:tcPr>
            <w:tcW w:w="567"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67"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16"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46" w:type="dxa"/>
            <w:vAlign w:val="center"/>
          </w:tcPr>
          <w:p>
            <w:pPr>
              <w:snapToGrid w:val="0"/>
              <w:jc w:val="cente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9</w:t>
            </w:r>
          </w:p>
        </w:tc>
        <w:tc>
          <w:tcPr>
            <w:tcW w:w="3861" w:type="dxa"/>
            <w:vAlign w:val="center"/>
          </w:tcPr>
          <w:p>
            <w:pPr>
              <w:snapToGrid w:val="0"/>
              <w:jc w:val="left"/>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联合体协议书（002包 如有）</w:t>
            </w:r>
          </w:p>
        </w:tc>
        <w:tc>
          <w:tcPr>
            <w:tcW w:w="3119" w:type="dxa"/>
            <w:vAlign w:val="center"/>
          </w:tcPr>
          <w:p>
            <w:pPr>
              <w:spacing w:line="300" w:lineRule="exact"/>
              <w:jc w:val="left"/>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1.按给定格式填写</w:t>
            </w:r>
          </w:p>
          <w:p>
            <w:pPr>
              <w:spacing w:line="300" w:lineRule="exact"/>
              <w:jc w:val="left"/>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2.按规定签章</w:t>
            </w:r>
          </w:p>
        </w:tc>
        <w:tc>
          <w:tcPr>
            <w:tcW w:w="567"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67"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16"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526" w:type="dxa"/>
            <w:gridSpan w:val="3"/>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结论</w:t>
            </w:r>
          </w:p>
        </w:tc>
        <w:tc>
          <w:tcPr>
            <w:tcW w:w="567"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67"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516" w:type="dxa"/>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bl>
    <w:p>
      <w:pPr>
        <w:snapToGrid w:val="0"/>
        <w:spacing w:line="36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填表说明：1.每项内容审查合格，在表中填写“√”；不合格填写“×”；</w:t>
      </w:r>
    </w:p>
    <w:p>
      <w:pPr>
        <w:snapToGrid w:val="0"/>
        <w:spacing w:line="36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xml:space="preserve">          2.审查结论填写“通过”或“不通过”。</w:t>
      </w:r>
    </w:p>
    <w:p>
      <w:pPr>
        <w:pStyle w:val="16"/>
        <w:widowControl w:val="0"/>
        <w:snapToGrid w:val="0"/>
        <w:spacing w:before="0" w:beforeAutospacing="0" w:after="0" w:afterAutospacing="0" w:line="360" w:lineRule="auto"/>
        <w:jc w:val="both"/>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审查人签字：</w:t>
      </w:r>
    </w:p>
    <w:p>
      <w:pPr>
        <w:pStyle w:val="16"/>
        <w:widowControl w:val="0"/>
        <w:snapToGrid w:val="0"/>
        <w:spacing w:before="0" w:beforeAutospacing="0" w:after="0" w:afterAutospacing="0" w:line="360" w:lineRule="auto"/>
        <w:jc w:val="both"/>
        <w:rPr>
          <w:rFonts w:ascii="仿宋_GB2312" w:hAnsi="仿宋" w:eastAsia="仿宋_GB2312" w:cs="仿宋_GB2312"/>
          <w:bCs/>
          <w:color w:val="000000" w:themeColor="text1"/>
          <w14:textFill>
            <w14:solidFill>
              <w14:schemeClr w14:val="tx1"/>
            </w14:solidFill>
          </w14:textFill>
        </w:rPr>
      </w:pPr>
      <w:r>
        <w:rPr>
          <w:rFonts w:hint="eastAsia" w:ascii="仿宋_GB2312" w:hAnsi="仿宋" w:eastAsia="仿宋_GB2312" w:cs="仿宋_GB2312"/>
          <w:bCs/>
          <w:color w:val="000000" w:themeColor="text1"/>
          <w14:textFill>
            <w14:solidFill>
              <w14:schemeClr w14:val="tx1"/>
            </w14:solidFill>
          </w14:textFill>
        </w:rPr>
        <w:t>日      期：</w:t>
      </w:r>
    </w:p>
    <w:p>
      <w:pPr>
        <w:pStyle w:val="3"/>
        <w:adjustRightInd w:val="0"/>
        <w:snapToGrid w:val="0"/>
        <w:spacing w:before="0" w:after="0" w:line="240" w:lineRule="auto"/>
        <w:jc w:val="left"/>
        <w:rPr>
          <w:rFonts w:ascii="仿宋_GB2312" w:hAnsi="Times New Roman" w:eastAsia="仿宋_GB2312"/>
          <w:color w:val="000000" w:themeColor="text1"/>
          <w14:textFill>
            <w14:solidFill>
              <w14:schemeClr w14:val="tx1"/>
            </w14:solidFill>
          </w14:textFill>
        </w:rPr>
      </w:pPr>
      <w:bookmarkStart w:id="131" w:name="_Toc11558_WPSOffice_Level2"/>
      <w:r>
        <w:rPr>
          <w:rFonts w:hint="eastAsia" w:ascii="仿宋_GB2312" w:hAnsi="仿宋" w:eastAsia="仿宋_GB2312" w:cs="仿宋_GB2312"/>
          <w:color w:val="000000" w:themeColor="text1"/>
          <w:szCs w:val="28"/>
          <w14:textFill>
            <w14:solidFill>
              <w14:schemeClr w14:val="tx1"/>
            </w14:solidFill>
          </w14:textFill>
        </w:rPr>
        <w:t xml:space="preserve">附件2                  </w:t>
      </w:r>
      <w:bookmarkEnd w:id="131"/>
    </w:p>
    <w:p>
      <w:pPr>
        <w:jc w:val="center"/>
        <w:rPr>
          <w:rFonts w:ascii="方正小标宋简体" w:hAnsi="仿宋" w:eastAsia="方正小标宋简体" w:cs="仿宋_GB2312"/>
          <w:bCs/>
          <w:color w:val="000000" w:themeColor="text1"/>
          <w:sz w:val="32"/>
          <w:szCs w:val="32"/>
          <w14:textFill>
            <w14:solidFill>
              <w14:schemeClr w14:val="tx1"/>
            </w14:solidFill>
          </w14:textFill>
        </w:rPr>
      </w:pPr>
      <w:r>
        <w:rPr>
          <w:rFonts w:hint="eastAsia" w:ascii="方正小标宋简体" w:hAnsi="仿宋" w:eastAsia="方正小标宋简体" w:cs="仿宋_GB2312"/>
          <w:bCs/>
          <w:color w:val="000000" w:themeColor="text1"/>
          <w:sz w:val="32"/>
          <w:szCs w:val="32"/>
          <w14:textFill>
            <w14:solidFill>
              <w14:schemeClr w14:val="tx1"/>
            </w14:solidFill>
          </w14:textFill>
        </w:rPr>
        <w:t>符合性审查表</w:t>
      </w:r>
    </w:p>
    <w:tbl>
      <w:tblPr>
        <w:tblStyle w:val="20"/>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464"/>
        <w:gridCol w:w="3200"/>
        <w:gridCol w:w="965"/>
        <w:gridCol w:w="958"/>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72" w:type="dxa"/>
            <w:vMerge w:val="restart"/>
            <w:vAlign w:val="center"/>
          </w:tcPr>
          <w:p>
            <w:pPr>
              <w:ind w:left="-84" w:leftChars="-40" w:right="-75" w:rightChars="-36"/>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序号</w:t>
            </w:r>
          </w:p>
        </w:tc>
        <w:tc>
          <w:tcPr>
            <w:tcW w:w="2464" w:type="dxa"/>
            <w:vMerge w:val="restart"/>
            <w:vAlign w:val="center"/>
          </w:tcPr>
          <w:p>
            <w:pPr>
              <w:ind w:left="-84" w:leftChars="-40" w:right="-75" w:rightChars="-36"/>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审查项目</w:t>
            </w:r>
          </w:p>
        </w:tc>
        <w:tc>
          <w:tcPr>
            <w:tcW w:w="3200" w:type="dxa"/>
            <w:vMerge w:val="restart"/>
            <w:vAlign w:val="center"/>
          </w:tcPr>
          <w:p>
            <w:pPr>
              <w:ind w:left="-84" w:leftChars="-40" w:right="-75" w:rightChars="-36"/>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审查标准</w:t>
            </w:r>
          </w:p>
        </w:tc>
        <w:tc>
          <w:tcPr>
            <w:tcW w:w="2825" w:type="dxa"/>
            <w:gridSpan w:val="3"/>
            <w:vAlign w:val="center"/>
          </w:tcPr>
          <w:p>
            <w:pPr>
              <w:ind w:left="-84" w:leftChars="-40" w:right="-75" w:rightChars="-36"/>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72" w:type="dxa"/>
            <w:vMerge w:val="continue"/>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2464" w:type="dxa"/>
            <w:vMerge w:val="continue"/>
            <w:vAlign w:val="center"/>
          </w:tcPr>
          <w:p>
            <w:pPr>
              <w:pStyle w:val="3"/>
              <w:adjustRightInd w:val="0"/>
              <w:snapToGrid w:val="0"/>
              <w:spacing w:before="0" w:after="0" w:line="240" w:lineRule="auto"/>
              <w:jc w:val="both"/>
              <w:rPr>
                <w:rFonts w:ascii="仿宋_GB2312" w:hAnsi="仿宋" w:eastAsia="仿宋_GB2312" w:cs="仿宋_GB2312"/>
                <w:color w:val="000000" w:themeColor="text1"/>
                <w:sz w:val="24"/>
                <w14:textFill>
                  <w14:solidFill>
                    <w14:schemeClr w14:val="tx1"/>
                  </w14:solidFill>
                </w14:textFill>
              </w:rPr>
            </w:pPr>
          </w:p>
        </w:tc>
        <w:tc>
          <w:tcPr>
            <w:tcW w:w="3200" w:type="dxa"/>
            <w:vMerge w:val="continue"/>
            <w:vAlign w:val="center"/>
          </w:tcPr>
          <w:p>
            <w:pPr>
              <w:pStyle w:val="3"/>
              <w:adjustRightInd w:val="0"/>
              <w:snapToGrid w:val="0"/>
              <w:spacing w:before="0" w:after="0" w:line="240" w:lineRule="auto"/>
              <w:jc w:val="both"/>
              <w:rPr>
                <w:rFonts w:ascii="仿宋_GB2312" w:hAnsi="仿宋" w:eastAsia="仿宋_GB2312" w:cs="仿宋_GB2312"/>
                <w:color w:val="000000" w:themeColor="text1"/>
                <w:sz w:val="24"/>
                <w14:textFill>
                  <w14:solidFill>
                    <w14:schemeClr w14:val="tx1"/>
                  </w14:solidFill>
                </w14:textFill>
              </w:rPr>
            </w:pPr>
          </w:p>
        </w:tc>
        <w:tc>
          <w:tcPr>
            <w:tcW w:w="965"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58"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02"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672" w:type="dxa"/>
            <w:vAlign w:val="center"/>
          </w:tcPr>
          <w:p>
            <w:pPr>
              <w:jc w:val="cente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kern w:val="0"/>
                <w:sz w:val="22"/>
                <w:szCs w:val="22"/>
                <w14:textFill>
                  <w14:solidFill>
                    <w14:schemeClr w14:val="tx1"/>
                  </w14:solidFill>
                </w14:textFill>
              </w:rPr>
              <w:t>1</w:t>
            </w:r>
          </w:p>
        </w:tc>
        <w:tc>
          <w:tcPr>
            <w:tcW w:w="2464" w:type="dxa"/>
            <w:vAlign w:val="center"/>
          </w:tcPr>
          <w:p>
            <w:pPr>
              <w:rPr>
                <w:rFonts w:ascii="仿宋_GB2312" w:hAnsi="仿宋" w:eastAsia="仿宋_GB2312" w:cs="仿宋_GB2312"/>
                <w:b/>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kern w:val="0"/>
                <w:sz w:val="22"/>
                <w:szCs w:val="22"/>
                <w14:textFill>
                  <w14:solidFill>
                    <w14:schemeClr w14:val="tx1"/>
                  </w14:solidFill>
                </w14:textFill>
              </w:rPr>
              <w:t>投标函</w:t>
            </w:r>
          </w:p>
        </w:tc>
        <w:tc>
          <w:tcPr>
            <w:tcW w:w="3200" w:type="dxa"/>
            <w:vAlign w:val="center"/>
          </w:tcPr>
          <w:p>
            <w:pPr>
              <w:pStyle w:val="3"/>
              <w:adjustRightInd w:val="0"/>
              <w:snapToGrid w:val="0"/>
              <w:spacing w:before="0" w:after="0" w:line="240" w:lineRule="auto"/>
              <w:jc w:val="both"/>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1.按给定格式填写</w:t>
            </w:r>
          </w:p>
          <w:p>
            <w:pP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2.响应招标文件实质性要求</w:t>
            </w:r>
          </w:p>
          <w:p>
            <w:pPr>
              <w:pStyle w:val="3"/>
              <w:adjustRightInd w:val="0"/>
              <w:snapToGrid w:val="0"/>
              <w:spacing w:before="0" w:after="0" w:line="240" w:lineRule="auto"/>
              <w:jc w:val="both"/>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3.按规定签章</w:t>
            </w:r>
          </w:p>
        </w:tc>
        <w:tc>
          <w:tcPr>
            <w:tcW w:w="965"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58"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02"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72" w:type="dxa"/>
            <w:vAlign w:val="center"/>
          </w:tcPr>
          <w:p>
            <w:pPr>
              <w:jc w:val="cente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2</w:t>
            </w:r>
          </w:p>
        </w:tc>
        <w:tc>
          <w:tcPr>
            <w:tcW w:w="2464" w:type="dxa"/>
            <w:vAlign w:val="center"/>
          </w:tcPr>
          <w:p>
            <w:pPr>
              <w:rPr>
                <w:rFonts w:ascii="仿宋_GB2312" w:hAnsi="仿宋" w:eastAsia="仿宋_GB2312" w:cs="仿宋_GB2312"/>
                <w:b/>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kern w:val="0"/>
                <w:sz w:val="22"/>
                <w:szCs w:val="22"/>
                <w14:textFill>
                  <w14:solidFill>
                    <w14:schemeClr w14:val="tx1"/>
                  </w14:solidFill>
                </w14:textFill>
              </w:rPr>
              <w:t>递交投标保证金证明</w:t>
            </w:r>
          </w:p>
        </w:tc>
        <w:tc>
          <w:tcPr>
            <w:tcW w:w="3200" w:type="dxa"/>
            <w:vAlign w:val="center"/>
          </w:tcPr>
          <w:p>
            <w:pPr>
              <w:pStyle w:val="3"/>
              <w:adjustRightInd w:val="0"/>
              <w:snapToGrid w:val="0"/>
              <w:spacing w:before="0" w:after="0" w:line="240" w:lineRule="auto"/>
              <w:jc w:val="both"/>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1.按要求提供</w:t>
            </w:r>
          </w:p>
          <w:p>
            <w:pPr>
              <w:pStyle w:val="3"/>
              <w:adjustRightInd w:val="0"/>
              <w:snapToGrid w:val="0"/>
              <w:spacing w:before="0" w:after="0" w:line="240" w:lineRule="auto"/>
              <w:jc w:val="both"/>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2.合法有效</w:t>
            </w:r>
          </w:p>
        </w:tc>
        <w:tc>
          <w:tcPr>
            <w:tcW w:w="965"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58"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02"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72" w:type="dxa"/>
            <w:vAlign w:val="center"/>
          </w:tcPr>
          <w:p>
            <w:pPr>
              <w:jc w:val="cente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kern w:val="0"/>
                <w:sz w:val="22"/>
                <w:szCs w:val="22"/>
                <w14:textFill>
                  <w14:solidFill>
                    <w14:schemeClr w14:val="tx1"/>
                  </w14:solidFill>
                </w14:textFill>
              </w:rPr>
              <w:t>3</w:t>
            </w:r>
          </w:p>
        </w:tc>
        <w:tc>
          <w:tcPr>
            <w:tcW w:w="2464" w:type="dxa"/>
            <w:vAlign w:val="center"/>
          </w:tcPr>
          <w:p>
            <w:pPr>
              <w:rPr>
                <w:rFonts w:ascii="仿宋_GB2312" w:hAnsi="仿宋" w:eastAsia="仿宋_GB2312" w:cs="仿宋_GB2312"/>
                <w:b/>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kern w:val="0"/>
                <w:sz w:val="22"/>
                <w:szCs w:val="22"/>
                <w14:textFill>
                  <w14:solidFill>
                    <w14:schemeClr w14:val="tx1"/>
                  </w14:solidFill>
                </w14:textFill>
              </w:rPr>
              <w:t>开标一览表</w:t>
            </w:r>
          </w:p>
        </w:tc>
        <w:tc>
          <w:tcPr>
            <w:tcW w:w="3200" w:type="dxa"/>
            <w:vAlign w:val="center"/>
          </w:tcPr>
          <w:p>
            <w:pPr>
              <w:pStyle w:val="3"/>
              <w:adjustRightInd w:val="0"/>
              <w:snapToGrid w:val="0"/>
              <w:spacing w:before="0" w:after="0" w:line="240" w:lineRule="auto"/>
              <w:jc w:val="both"/>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1.按给定格式填写</w:t>
            </w:r>
          </w:p>
          <w:p>
            <w:pP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2.响应招标文件实质性要求</w:t>
            </w:r>
          </w:p>
          <w:p>
            <w:pPr>
              <w:pStyle w:val="3"/>
              <w:adjustRightInd w:val="0"/>
              <w:snapToGrid w:val="0"/>
              <w:spacing w:before="0" w:after="0" w:line="240" w:lineRule="auto"/>
              <w:jc w:val="both"/>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3.按规定签章</w:t>
            </w:r>
          </w:p>
        </w:tc>
        <w:tc>
          <w:tcPr>
            <w:tcW w:w="965"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58"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02"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672" w:type="dxa"/>
            <w:vAlign w:val="center"/>
          </w:tcPr>
          <w:p>
            <w:pPr>
              <w:jc w:val="cente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kern w:val="0"/>
                <w:sz w:val="22"/>
                <w:szCs w:val="22"/>
                <w14:textFill>
                  <w14:solidFill>
                    <w14:schemeClr w14:val="tx1"/>
                  </w14:solidFill>
                </w14:textFill>
              </w:rPr>
              <w:t>4</w:t>
            </w:r>
          </w:p>
        </w:tc>
        <w:tc>
          <w:tcPr>
            <w:tcW w:w="2464" w:type="dxa"/>
            <w:vAlign w:val="center"/>
          </w:tcPr>
          <w:p>
            <w:pPr>
              <w:rPr>
                <w:rFonts w:ascii="仿宋_GB2312" w:hAnsi="仿宋" w:eastAsia="仿宋_GB2312" w:cs="仿宋_GB2312"/>
                <w:b/>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kern w:val="0"/>
                <w:sz w:val="22"/>
                <w:szCs w:val="22"/>
                <w14:textFill>
                  <w14:solidFill>
                    <w14:schemeClr w14:val="tx1"/>
                  </w14:solidFill>
                </w14:textFill>
              </w:rPr>
              <w:t>服务价格明细表</w:t>
            </w:r>
          </w:p>
        </w:tc>
        <w:tc>
          <w:tcPr>
            <w:tcW w:w="3200" w:type="dxa"/>
            <w:vAlign w:val="center"/>
          </w:tcPr>
          <w:p>
            <w:pPr>
              <w:pStyle w:val="3"/>
              <w:adjustRightInd w:val="0"/>
              <w:snapToGrid w:val="0"/>
              <w:spacing w:before="0" w:after="0" w:line="240" w:lineRule="auto"/>
              <w:jc w:val="both"/>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1.按给定格式填写</w:t>
            </w:r>
          </w:p>
          <w:p>
            <w:pP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2.响应招标文件实质性要求</w:t>
            </w:r>
          </w:p>
          <w:p>
            <w:pPr>
              <w:pStyle w:val="3"/>
              <w:adjustRightInd w:val="0"/>
              <w:snapToGrid w:val="0"/>
              <w:spacing w:before="0" w:after="0" w:line="240" w:lineRule="auto"/>
              <w:jc w:val="both"/>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3.按规定签章</w:t>
            </w:r>
          </w:p>
        </w:tc>
        <w:tc>
          <w:tcPr>
            <w:tcW w:w="965"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58"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02"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72" w:type="dxa"/>
            <w:vAlign w:val="center"/>
          </w:tcPr>
          <w:p>
            <w:pPr>
              <w:jc w:val="cente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kern w:val="0"/>
                <w:sz w:val="22"/>
                <w:szCs w:val="22"/>
                <w14:textFill>
                  <w14:solidFill>
                    <w14:schemeClr w14:val="tx1"/>
                  </w14:solidFill>
                </w14:textFill>
              </w:rPr>
              <w:t>5</w:t>
            </w:r>
          </w:p>
        </w:tc>
        <w:tc>
          <w:tcPr>
            <w:tcW w:w="2464" w:type="dxa"/>
            <w:vAlign w:val="center"/>
          </w:tcPr>
          <w:p>
            <w:pPr>
              <w:rPr>
                <w:rFonts w:ascii="仿宋_GB2312" w:hAnsi="仿宋" w:eastAsia="仿宋_GB2312" w:cs="仿宋_GB2312"/>
                <w:b/>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kern w:val="0"/>
                <w:sz w:val="22"/>
                <w:szCs w:val="22"/>
                <w14:textFill>
                  <w14:solidFill>
                    <w14:schemeClr w14:val="tx1"/>
                  </w14:solidFill>
                </w14:textFill>
              </w:rPr>
              <w:t>服务需求响应表</w:t>
            </w:r>
          </w:p>
        </w:tc>
        <w:tc>
          <w:tcPr>
            <w:tcW w:w="3200" w:type="dxa"/>
            <w:vAlign w:val="center"/>
          </w:tcPr>
          <w:p>
            <w:pPr>
              <w:pStyle w:val="3"/>
              <w:adjustRightInd w:val="0"/>
              <w:snapToGrid w:val="0"/>
              <w:spacing w:before="0" w:after="0" w:line="240" w:lineRule="auto"/>
              <w:jc w:val="both"/>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1.按给定格式及填表要求填写</w:t>
            </w:r>
          </w:p>
          <w:p>
            <w:pP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2.响应招标文件实质性要求</w:t>
            </w:r>
          </w:p>
          <w:p>
            <w:pPr>
              <w:pStyle w:val="3"/>
              <w:adjustRightInd w:val="0"/>
              <w:snapToGrid w:val="0"/>
              <w:spacing w:before="0" w:after="0" w:line="240" w:lineRule="auto"/>
              <w:jc w:val="both"/>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3.按规定签章</w:t>
            </w:r>
          </w:p>
        </w:tc>
        <w:tc>
          <w:tcPr>
            <w:tcW w:w="965"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58"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02"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672" w:type="dxa"/>
            <w:vAlign w:val="center"/>
          </w:tcPr>
          <w:p>
            <w:pPr>
              <w:jc w:val="cente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kern w:val="0"/>
                <w:sz w:val="22"/>
                <w:szCs w:val="22"/>
                <w14:textFill>
                  <w14:solidFill>
                    <w14:schemeClr w14:val="tx1"/>
                  </w14:solidFill>
                </w14:textFill>
              </w:rPr>
              <w:t>6</w:t>
            </w:r>
          </w:p>
        </w:tc>
        <w:tc>
          <w:tcPr>
            <w:tcW w:w="2464" w:type="dxa"/>
            <w:vAlign w:val="center"/>
          </w:tcPr>
          <w:p>
            <w:pPr>
              <w:rPr>
                <w:rFonts w:ascii="仿宋_GB2312" w:hAnsi="仿宋" w:eastAsia="仿宋_GB2312" w:cs="仿宋_GB2312"/>
                <w:b/>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kern w:val="0"/>
                <w:sz w:val="22"/>
                <w:szCs w:val="22"/>
                <w14:textFill>
                  <w14:solidFill>
                    <w14:schemeClr w14:val="tx1"/>
                  </w14:solidFill>
                </w14:textFill>
              </w:rPr>
              <w:t>商务条款偏离表</w:t>
            </w:r>
          </w:p>
        </w:tc>
        <w:tc>
          <w:tcPr>
            <w:tcW w:w="3200" w:type="dxa"/>
            <w:vAlign w:val="center"/>
          </w:tcPr>
          <w:p>
            <w:pPr>
              <w:pStyle w:val="3"/>
              <w:adjustRightInd w:val="0"/>
              <w:snapToGrid w:val="0"/>
              <w:spacing w:before="0" w:after="0" w:line="240" w:lineRule="auto"/>
              <w:jc w:val="both"/>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1.按给定格式及填表要求填写</w:t>
            </w:r>
          </w:p>
          <w:p>
            <w:pP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2.响应招标文件实质性要求</w:t>
            </w:r>
          </w:p>
          <w:p>
            <w:pPr>
              <w:pStyle w:val="3"/>
              <w:adjustRightInd w:val="0"/>
              <w:snapToGrid w:val="0"/>
              <w:spacing w:before="0" w:after="0" w:line="240" w:lineRule="auto"/>
              <w:jc w:val="both"/>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3.按规定签章</w:t>
            </w:r>
          </w:p>
        </w:tc>
        <w:tc>
          <w:tcPr>
            <w:tcW w:w="965"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58"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02"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2" w:type="dxa"/>
            <w:vAlign w:val="center"/>
          </w:tcPr>
          <w:p>
            <w:pPr>
              <w:jc w:val="cente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kern w:val="0"/>
                <w:sz w:val="22"/>
                <w:szCs w:val="22"/>
                <w14:textFill>
                  <w14:solidFill>
                    <w14:schemeClr w14:val="tx1"/>
                  </w14:solidFill>
                </w14:textFill>
              </w:rPr>
              <w:t>7</w:t>
            </w:r>
          </w:p>
        </w:tc>
        <w:tc>
          <w:tcPr>
            <w:tcW w:w="2464" w:type="dxa"/>
            <w:vAlign w:val="center"/>
          </w:tcPr>
          <w:p>
            <w:pPr>
              <w:rPr>
                <w:rFonts w:ascii="仿宋_GB2312" w:hAnsi="仿宋" w:eastAsia="仿宋_GB2312" w:cs="仿宋_GB2312"/>
                <w:b/>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kern w:val="0"/>
                <w:sz w:val="22"/>
                <w:szCs w:val="22"/>
                <w14:textFill>
                  <w14:solidFill>
                    <w14:schemeClr w14:val="tx1"/>
                  </w14:solidFill>
                </w14:textFill>
              </w:rPr>
              <w:t>投标人关联单位说明</w:t>
            </w:r>
          </w:p>
        </w:tc>
        <w:tc>
          <w:tcPr>
            <w:tcW w:w="3200" w:type="dxa"/>
            <w:vAlign w:val="center"/>
          </w:tcPr>
          <w:p>
            <w:pPr>
              <w:pStyle w:val="3"/>
              <w:adjustRightInd w:val="0"/>
              <w:snapToGrid w:val="0"/>
              <w:spacing w:before="0" w:after="0" w:line="240" w:lineRule="auto"/>
              <w:jc w:val="left"/>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无投标须知1.5所述情形</w:t>
            </w:r>
          </w:p>
        </w:tc>
        <w:tc>
          <w:tcPr>
            <w:tcW w:w="965"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58"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02"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672" w:type="dxa"/>
            <w:vAlign w:val="center"/>
          </w:tcPr>
          <w:p>
            <w:pPr>
              <w:jc w:val="center"/>
              <w:rPr>
                <w:rFonts w:ascii="仿宋_GB2312" w:hAnsi="仿宋" w:eastAsia="仿宋_GB2312" w:cs="仿宋_GB2312"/>
                <w:color w:val="000000" w:themeColor="text1"/>
                <w:kern w:val="0"/>
                <w:sz w:val="22"/>
                <w:szCs w:val="22"/>
                <w14:textFill>
                  <w14:solidFill>
                    <w14:schemeClr w14:val="tx1"/>
                  </w14:solidFill>
                </w14:textFill>
              </w:rPr>
            </w:pPr>
            <w:r>
              <w:rPr>
                <w:rFonts w:hint="eastAsia" w:ascii="仿宋_GB2312" w:hAnsi="仿宋" w:eastAsia="仿宋_GB2312" w:cs="仿宋_GB2312"/>
                <w:color w:val="000000" w:themeColor="text1"/>
                <w:kern w:val="0"/>
                <w:sz w:val="22"/>
                <w:szCs w:val="22"/>
                <w14:textFill>
                  <w14:solidFill>
                    <w14:schemeClr w14:val="tx1"/>
                  </w14:solidFill>
                </w14:textFill>
              </w:rPr>
              <w:t>8</w:t>
            </w:r>
          </w:p>
        </w:tc>
        <w:tc>
          <w:tcPr>
            <w:tcW w:w="2464" w:type="dxa"/>
            <w:vAlign w:val="center"/>
          </w:tcPr>
          <w:p>
            <w:pPr>
              <w:jc w:val="left"/>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投标文件一致性承诺函</w:t>
            </w:r>
          </w:p>
        </w:tc>
        <w:tc>
          <w:tcPr>
            <w:tcW w:w="3200" w:type="dxa"/>
            <w:vAlign w:val="center"/>
          </w:tcPr>
          <w:p>
            <w:pPr>
              <w:pStyle w:val="3"/>
              <w:adjustRightInd w:val="0"/>
              <w:snapToGrid w:val="0"/>
              <w:spacing w:before="0" w:after="0" w:line="240" w:lineRule="auto"/>
              <w:jc w:val="both"/>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1.按给定格式及填表要求填写</w:t>
            </w:r>
          </w:p>
          <w:p>
            <w:pPr>
              <w:pStyle w:val="3"/>
              <w:adjustRightInd w:val="0"/>
              <w:snapToGrid w:val="0"/>
              <w:spacing w:before="0" w:after="0" w:line="240" w:lineRule="auto"/>
              <w:jc w:val="both"/>
              <w:rPr>
                <w:rFonts w:ascii="仿宋_GB2312" w:hAnsi="仿宋" w:eastAsia="仿宋_GB2312" w:cs="仿宋_GB2312"/>
                <w:b w:val="0"/>
                <w:color w:val="000000" w:themeColor="text1"/>
                <w:sz w:val="22"/>
                <w:szCs w:val="22"/>
                <w14:textFill>
                  <w14:solidFill>
                    <w14:schemeClr w14:val="tx1"/>
                  </w14:solidFill>
                </w14:textFill>
              </w:rPr>
            </w:pPr>
            <w:r>
              <w:rPr>
                <w:rFonts w:hint="eastAsia" w:ascii="仿宋_GB2312" w:hAnsi="仿宋" w:eastAsia="仿宋_GB2312" w:cs="仿宋_GB2312"/>
                <w:b w:val="0"/>
                <w:color w:val="000000" w:themeColor="text1"/>
                <w:sz w:val="22"/>
                <w:szCs w:val="22"/>
                <w14:textFill>
                  <w14:solidFill>
                    <w14:schemeClr w14:val="tx1"/>
                  </w14:solidFill>
                </w14:textFill>
              </w:rPr>
              <w:t>2.按规定签章</w:t>
            </w:r>
          </w:p>
        </w:tc>
        <w:tc>
          <w:tcPr>
            <w:tcW w:w="965"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58"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02"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2" w:type="dxa"/>
            <w:vAlign w:val="center"/>
          </w:tcPr>
          <w:p>
            <w:pPr>
              <w:jc w:val="center"/>
              <w:rPr>
                <w:rFonts w:ascii="仿宋_GB2312" w:hAnsi="仿宋" w:eastAsia="仿宋_GB2312" w:cs="仿宋_GB2312"/>
                <w:color w:val="000000" w:themeColor="text1"/>
                <w:kern w:val="0"/>
                <w:sz w:val="22"/>
                <w:szCs w:val="22"/>
                <w14:textFill>
                  <w14:solidFill>
                    <w14:schemeClr w14:val="tx1"/>
                  </w14:solidFill>
                </w14:textFill>
              </w:rPr>
            </w:pPr>
            <w:r>
              <w:rPr>
                <w:rFonts w:ascii="仿宋_GB2312" w:hAnsi="仿宋" w:eastAsia="仿宋_GB2312" w:cs="仿宋_GB2312"/>
                <w:color w:val="000000" w:themeColor="text1"/>
                <w:kern w:val="0"/>
                <w:sz w:val="22"/>
                <w:szCs w:val="22"/>
                <w14:textFill>
                  <w14:solidFill>
                    <w14:schemeClr w14:val="tx1"/>
                  </w14:solidFill>
                </w14:textFill>
              </w:rPr>
              <w:t>9</w:t>
            </w:r>
          </w:p>
        </w:tc>
        <w:tc>
          <w:tcPr>
            <w:tcW w:w="2464" w:type="dxa"/>
            <w:vAlign w:val="center"/>
          </w:tcPr>
          <w:p>
            <w:pPr>
              <w:jc w:val="left"/>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投标响应</w:t>
            </w:r>
          </w:p>
        </w:tc>
        <w:tc>
          <w:tcPr>
            <w:tcW w:w="3200" w:type="dxa"/>
            <w:vAlign w:val="center"/>
          </w:tcPr>
          <w:p>
            <w:pP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1.响应招标文件实质性要求</w:t>
            </w:r>
          </w:p>
          <w:p>
            <w:pPr>
              <w:rPr>
                <w:rFonts w:ascii="仿宋_GB2312" w:hAnsi="仿宋" w:eastAsia="仿宋_GB2312" w:cs="仿宋_GB2312"/>
                <w:color w:val="000000" w:themeColor="text1"/>
                <w:sz w:val="22"/>
                <w:szCs w:val="22"/>
                <w14:textFill>
                  <w14:solidFill>
                    <w14:schemeClr w14:val="tx1"/>
                  </w14:solidFill>
                </w14:textFill>
              </w:rPr>
            </w:pPr>
            <w:r>
              <w:rPr>
                <w:rFonts w:hint="eastAsia" w:ascii="仿宋_GB2312" w:hAnsi="仿宋" w:eastAsia="仿宋_GB2312" w:cs="仿宋_GB2312"/>
                <w:color w:val="000000" w:themeColor="text1"/>
                <w:sz w:val="22"/>
                <w:szCs w:val="22"/>
                <w14:textFill>
                  <w14:solidFill>
                    <w14:schemeClr w14:val="tx1"/>
                  </w14:solidFill>
                </w14:textFill>
              </w:rPr>
              <w:t>2.无投标须知26.2所述情形</w:t>
            </w:r>
          </w:p>
        </w:tc>
        <w:tc>
          <w:tcPr>
            <w:tcW w:w="965"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58"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02"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336" w:type="dxa"/>
            <w:gridSpan w:val="3"/>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结论</w:t>
            </w:r>
          </w:p>
        </w:tc>
        <w:tc>
          <w:tcPr>
            <w:tcW w:w="965"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58"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c>
          <w:tcPr>
            <w:tcW w:w="902" w:type="dxa"/>
            <w:vAlign w:val="center"/>
          </w:tcPr>
          <w:p>
            <w:pPr>
              <w:pStyle w:val="3"/>
              <w:adjustRightInd w:val="0"/>
              <w:snapToGrid w:val="0"/>
              <w:spacing w:before="0" w:after="0" w:line="240" w:lineRule="auto"/>
              <w:rPr>
                <w:rFonts w:ascii="仿宋_GB2312" w:hAnsi="仿宋" w:eastAsia="仿宋_GB2312" w:cs="仿宋_GB2312"/>
                <w:color w:val="000000" w:themeColor="text1"/>
                <w:sz w:val="24"/>
                <w14:textFill>
                  <w14:solidFill>
                    <w14:schemeClr w14:val="tx1"/>
                  </w14:solidFill>
                </w14:textFill>
              </w:rPr>
            </w:pPr>
          </w:p>
        </w:tc>
      </w:tr>
    </w:tbl>
    <w:p>
      <w:pPr>
        <w:spacing w:line="360" w:lineRule="auto"/>
        <w:rPr>
          <w:rFonts w:ascii="仿宋_GB2312" w:hAnsi="仿宋" w:eastAsia="仿宋_GB2312" w:cs="仿宋_GB2312"/>
          <w:color w:val="000000" w:themeColor="text1"/>
          <w:sz w:val="24"/>
          <w14:textFill>
            <w14:solidFill>
              <w14:schemeClr w14:val="tx1"/>
            </w14:solidFill>
          </w14:textFill>
        </w:rPr>
      </w:pPr>
      <w:bookmarkStart w:id="132" w:name="_Toc17433_WPSOffice_Level2"/>
      <w:r>
        <w:rPr>
          <w:rFonts w:hint="eastAsia" w:ascii="仿宋_GB2312" w:hAnsi="仿宋" w:eastAsia="仿宋_GB2312" w:cs="仿宋_GB2312"/>
          <w:color w:val="000000" w:themeColor="text1"/>
          <w:sz w:val="24"/>
          <w14:textFill>
            <w14:solidFill>
              <w14:schemeClr w14:val="tx1"/>
            </w14:solidFill>
          </w14:textFill>
        </w:rPr>
        <w:t>填表说明：1.每项内容审查合格，在表中填写“√”；不合格填写“×”；</w:t>
      </w:r>
    </w:p>
    <w:p>
      <w:pPr>
        <w:spacing w:line="360" w:lineRule="auto"/>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 xml:space="preserve">          2.审查结论填写“通过”或“不通过”。</w:t>
      </w:r>
    </w:p>
    <w:p>
      <w:pPr>
        <w:pStyle w:val="16"/>
        <w:widowControl w:val="0"/>
        <w:snapToGrid w:val="0"/>
        <w:spacing w:before="0" w:beforeAutospacing="0" w:after="0" w:afterAutospacing="0" w:line="360" w:lineRule="auto"/>
        <w:ind w:left="6720" w:hanging="6720" w:hangingChars="2800"/>
        <w:rPr>
          <w:rFonts w:ascii="仿宋_GB2312" w:hAnsi="仿宋" w:eastAsia="仿宋_GB2312" w:cs="仿宋_GB2312"/>
          <w:color w:val="000000" w:themeColor="text1"/>
          <w:szCs w:val="21"/>
          <w14:textFill>
            <w14:solidFill>
              <w14:schemeClr w14:val="tx1"/>
            </w14:solidFill>
          </w14:textFill>
        </w:rPr>
      </w:pPr>
      <w:r>
        <w:rPr>
          <w:rFonts w:hint="eastAsia" w:ascii="仿宋_GB2312" w:hAnsi="仿宋" w:eastAsia="仿宋_GB2312" w:cs="仿宋_GB2312"/>
          <w:color w:val="000000" w:themeColor="text1"/>
          <w:szCs w:val="21"/>
          <w14:textFill>
            <w14:solidFill>
              <w14:schemeClr w14:val="tx1"/>
            </w14:solidFill>
          </w14:textFill>
        </w:rPr>
        <w:t xml:space="preserve">审查人签字： </w:t>
      </w:r>
    </w:p>
    <w:p>
      <w:pPr>
        <w:pStyle w:val="16"/>
        <w:widowControl w:val="0"/>
        <w:snapToGrid w:val="0"/>
        <w:spacing w:before="0" w:beforeAutospacing="0" w:after="0" w:afterAutospacing="0" w:line="360" w:lineRule="auto"/>
        <w:ind w:left="6720" w:hanging="6720" w:hangingChars="2800"/>
        <w:rPr>
          <w:rFonts w:ascii="仿宋_GB2312" w:hAnsi="仿宋" w:eastAsia="仿宋_GB2312" w:cs="仿宋_GB2312"/>
          <w:color w:val="000000" w:themeColor="text1"/>
          <w:szCs w:val="21"/>
          <w14:textFill>
            <w14:solidFill>
              <w14:schemeClr w14:val="tx1"/>
            </w14:solidFill>
          </w14:textFill>
        </w:rPr>
      </w:pPr>
      <w:r>
        <w:rPr>
          <w:rFonts w:hint="eastAsia" w:ascii="仿宋_GB2312" w:hAnsi="仿宋" w:eastAsia="仿宋_GB2312" w:cs="仿宋_GB2312"/>
          <w:color w:val="000000" w:themeColor="text1"/>
          <w:szCs w:val="21"/>
          <w14:textFill>
            <w14:solidFill>
              <w14:schemeClr w14:val="tx1"/>
            </w14:solidFill>
          </w14:textFill>
        </w:rPr>
        <w:t>日      期：</w:t>
      </w:r>
    </w:p>
    <w:p>
      <w:pPr>
        <w:pStyle w:val="3"/>
        <w:adjustRightInd w:val="0"/>
        <w:snapToGrid w:val="0"/>
        <w:spacing w:before="0" w:after="0" w:line="240" w:lineRule="auto"/>
        <w:jc w:val="left"/>
        <w:rPr>
          <w:rFonts w:ascii="仿宋_GB2312" w:eastAsia="仿宋_GB2312"/>
          <w:bCs/>
          <w:color w:val="000000" w:themeColor="text1"/>
          <w14:textFill>
            <w14:solidFill>
              <w14:schemeClr w14:val="tx1"/>
            </w14:solidFill>
          </w14:textFill>
        </w:rPr>
      </w:pPr>
      <w:r>
        <w:rPr>
          <w:rFonts w:hint="eastAsia" w:ascii="仿宋_GB2312" w:hAnsi="仿宋" w:eastAsia="仿宋_GB2312"/>
          <w:bCs/>
          <w:color w:val="000000" w:themeColor="text1"/>
          <w:szCs w:val="28"/>
          <w14:textFill>
            <w14:solidFill>
              <w14:schemeClr w14:val="tx1"/>
            </w14:solidFill>
          </w14:textFill>
        </w:rPr>
        <w:t xml:space="preserve">附件3 </w:t>
      </w:r>
      <w:r>
        <w:rPr>
          <w:rFonts w:hint="eastAsia" w:ascii="仿宋_GB2312" w:hAnsi="仿宋" w:eastAsia="仿宋_GB2312" w:cs="仿宋_GB2312"/>
          <w:bCs/>
          <w:color w:val="000000" w:themeColor="text1"/>
          <w:szCs w:val="28"/>
          <w14:textFill>
            <w14:solidFill>
              <w14:schemeClr w14:val="tx1"/>
            </w14:solidFill>
          </w14:textFill>
        </w:rPr>
        <w:t xml:space="preserve">  </w:t>
      </w:r>
      <w:r>
        <w:rPr>
          <w:rFonts w:hint="eastAsia" w:ascii="仿宋_GB2312" w:eastAsia="仿宋_GB2312"/>
          <w:bCs/>
          <w:color w:val="000000" w:themeColor="text1"/>
          <w:szCs w:val="28"/>
          <w14:textFill>
            <w14:solidFill>
              <w14:schemeClr w14:val="tx1"/>
            </w14:solidFill>
          </w14:textFill>
        </w:rPr>
        <w:t xml:space="preserve"> </w:t>
      </w:r>
      <w:r>
        <w:rPr>
          <w:rFonts w:hint="eastAsia" w:ascii="仿宋_GB2312" w:eastAsia="仿宋_GB2312"/>
          <w:bCs/>
          <w:color w:val="000000" w:themeColor="text1"/>
          <w14:textFill>
            <w14:solidFill>
              <w14:schemeClr w14:val="tx1"/>
            </w14:solidFill>
          </w14:textFill>
        </w:rPr>
        <w:t xml:space="preserve">                </w:t>
      </w:r>
      <w:bookmarkEnd w:id="132"/>
    </w:p>
    <w:p>
      <w:pPr>
        <w:jc w:val="center"/>
        <w:rPr>
          <w:rFonts w:ascii="方正小标宋简体" w:hAnsi="仿宋" w:eastAsia="方正小标宋简体" w:cs="仿宋_GB2312"/>
          <w:bCs/>
          <w:color w:val="000000" w:themeColor="text1"/>
          <w:sz w:val="32"/>
          <w:szCs w:val="32"/>
          <w14:textFill>
            <w14:solidFill>
              <w14:schemeClr w14:val="tx1"/>
            </w14:solidFill>
          </w14:textFill>
        </w:rPr>
      </w:pPr>
      <w:r>
        <w:rPr>
          <w:rFonts w:hint="eastAsia" w:ascii="方正小标宋简体" w:hAnsi="仿宋" w:eastAsia="方正小标宋简体" w:cs="仿宋_GB2312"/>
          <w:bCs/>
          <w:color w:val="000000" w:themeColor="text1"/>
          <w:sz w:val="32"/>
          <w:szCs w:val="32"/>
          <w14:textFill>
            <w14:solidFill>
              <w14:schemeClr w14:val="tx1"/>
            </w14:solidFill>
          </w14:textFill>
        </w:rPr>
        <w:t>评分细则</w:t>
      </w:r>
    </w:p>
    <w:p>
      <w:pPr>
        <w:pStyle w:val="3"/>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（一）辽宁省住建厅一体化服务平台整合评分标准</w:t>
      </w:r>
    </w:p>
    <w:tbl>
      <w:tblPr>
        <w:tblStyle w:val="20"/>
        <w:tblpPr w:leftFromText="180" w:rightFromText="180" w:vertAnchor="text" w:horzAnchor="margin" w:tblpX="-357" w:tblpY="10"/>
        <w:tblW w:w="57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291"/>
        <w:gridCol w:w="6007"/>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仿宋_GB2312" w:eastAsia="仿宋_GB2312" w:cs="仿宋_GB2312"/>
                <w:b/>
                <w:color w:val="000000" w:themeColor="text1"/>
                <w:kern w:val="2"/>
                <w14:textFill>
                  <w14:solidFill>
                    <w14:schemeClr w14:val="tx1"/>
                  </w14:solidFill>
                </w14:textFill>
              </w:rPr>
            </w:pPr>
            <w:r>
              <w:rPr>
                <w:rFonts w:hint="eastAsia" w:ascii="仿宋_GB2312" w:hAnsi="仿宋_GB2312" w:eastAsia="仿宋_GB2312" w:cs="仿宋_GB2312"/>
                <w:b/>
                <w:color w:val="000000" w:themeColor="text1"/>
                <w:kern w:val="2"/>
                <w14:textFill>
                  <w14:solidFill>
                    <w14:schemeClr w14:val="tx1"/>
                  </w14:solidFill>
                </w14:textFill>
              </w:rPr>
              <w:t>包号</w:t>
            </w:r>
          </w:p>
        </w:tc>
        <w:tc>
          <w:tcPr>
            <w:tcW w:w="43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6"/>
              <w:widowControl w:val="0"/>
              <w:snapToGrid w:val="0"/>
              <w:spacing w:before="0" w:beforeAutospacing="0" w:after="0" w:afterAutospacing="0" w:line="288" w:lineRule="auto"/>
              <w:jc w:val="center"/>
              <w:rPr>
                <w:rFonts w:ascii="仿宋_GB2312" w:hAnsi="仿宋_GB2312" w:eastAsia="仿宋_GB2312" w:cs="仿宋_GB2312"/>
                <w:b/>
                <w:color w:val="000000" w:themeColor="text1"/>
                <w:kern w:val="2"/>
                <w14:textFill>
                  <w14:solidFill>
                    <w14:schemeClr w14:val="tx1"/>
                  </w14:solidFill>
                </w14:textFill>
              </w:rPr>
            </w:pPr>
            <w:r>
              <w:rPr>
                <w:rFonts w:hint="eastAsia" w:ascii="仿宋_GB2312" w:hAnsi="仿宋_GB2312" w:eastAsia="仿宋_GB2312" w:cs="仿宋_GB2312"/>
                <w:b/>
                <w:color w:val="000000" w:themeColor="text1"/>
                <w:kern w:val="2"/>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项目</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分项名称</w:t>
            </w:r>
          </w:p>
        </w:tc>
        <w:tc>
          <w:tcPr>
            <w:tcW w:w="322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评分标准</w:t>
            </w: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kern w:val="0"/>
                <w:sz w:val="24"/>
                <w:lang w:bidi="ar"/>
                <w14:textFill>
                  <w14:solidFill>
                    <w14:schemeClr w14:val="tx1"/>
                  </w14:solidFill>
                </w14:textFill>
              </w:rPr>
              <w:t>价格部分（10分）</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kern w:val="0"/>
                <w:sz w:val="24"/>
                <w:lang w:bidi="ar"/>
                <w14:textFill>
                  <w14:solidFill>
                    <w14:schemeClr w14:val="tx1"/>
                  </w14:solidFill>
                </w14:textFill>
              </w:rPr>
              <w:t>投标报价</w:t>
            </w:r>
          </w:p>
        </w:tc>
        <w:tc>
          <w:tcPr>
            <w:tcW w:w="322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lang w:bidi="ar"/>
                <w14:textFill>
                  <w14:solidFill>
                    <w14:schemeClr w14:val="tx1"/>
                  </w14:solidFill>
                </w14:textFill>
              </w:rPr>
              <w:t>评审内容：投标报价；</w:t>
            </w:r>
          </w:p>
          <w:p>
            <w:pPr>
              <w:adjustRightInd w:val="0"/>
              <w:snapToGrid w:val="0"/>
              <w:spacing w:line="288" w:lineRule="auto"/>
              <w:ind w:firstLine="480" w:firstLineChars="200"/>
              <w:jc w:val="left"/>
              <w:textAlignment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lang w:bidi="ar"/>
                <w14:textFill>
                  <w14:solidFill>
                    <w14:schemeClr w14:val="tx1"/>
                  </w14:solidFill>
                </w14:textFill>
              </w:rPr>
              <w:t>评审标准：</w:t>
            </w:r>
          </w:p>
          <w:p>
            <w:pPr>
              <w:adjustRightInd w:val="0"/>
              <w:snapToGrid w:val="0"/>
              <w:spacing w:line="288" w:lineRule="auto"/>
              <w:ind w:firstLine="480" w:firstLineChars="200"/>
              <w:jc w:val="left"/>
              <w:textAlignment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kern w:val="0"/>
                <w:sz w:val="24"/>
                <w:lang w:bidi="ar"/>
                <w14:textFill>
                  <w14:solidFill>
                    <w14:schemeClr w14:val="tx1"/>
                  </w14:solidFill>
                </w14:textFill>
              </w:rPr>
              <w:t>1.评标基准价：系指满足招标文件要求且投标价格最低的投标报价。</w:t>
            </w:r>
          </w:p>
          <w:p>
            <w:pPr>
              <w:adjustRightInd w:val="0"/>
              <w:snapToGrid w:val="0"/>
              <w:spacing w:line="288" w:lineRule="auto"/>
              <w:ind w:firstLine="480" w:firstLineChars="200"/>
              <w:jc w:val="left"/>
              <w:textAlignment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kern w:val="0"/>
                <w:sz w:val="24"/>
                <w:lang w:bidi="ar"/>
                <w14:textFill>
                  <w14:solidFill>
                    <w14:schemeClr w14:val="tx1"/>
                  </w14:solidFill>
                </w14:textFill>
              </w:rPr>
              <w:t>2.投标报价得分＝（评标基准价／投标报价）×10，得分保留至小数点后两位。</w:t>
            </w: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仿宋_GB2312" w:eastAsia="仿宋_GB2312"/>
                <w:color w:val="000000" w:themeColor="text1"/>
                <w14:textFill>
                  <w14:solidFill>
                    <w14:schemeClr w14:val="tx1"/>
                  </w14:solidFill>
                </w14:textFill>
              </w:rPr>
            </w:pPr>
            <w:r>
              <w:rPr>
                <w:rFonts w:hint="eastAsia" w:ascii="仿宋_GB2312" w:hAnsi="仿宋" w:eastAsia="仿宋_GB2312" w:cs="仿宋_GB2312"/>
                <w:color w:val="000000" w:themeColor="text1"/>
                <w:kern w:val="0"/>
                <w:sz w:val="24"/>
                <w:lang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技术部分（54分）</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bidi="ar"/>
                <w14:textFill>
                  <w14:solidFill>
                    <w14:schemeClr w14:val="tx1"/>
                  </w14:solidFill>
                </w14:textFill>
              </w:rPr>
              <w:t>总体服务方案</w:t>
            </w:r>
          </w:p>
        </w:tc>
        <w:tc>
          <w:tcPr>
            <w:tcW w:w="322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总体服务方案包括但不限于平台总体架构及应用架构、建设路径、业务协同、关键技术等内容，进行综合评分：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1.具有明确的平台总体架构及应用架构且内容清晰的得1分；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2.具有明确的建设路径且内容合理的得1分；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3.具有明确的业务协同且合理可行的得1分；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4.具有明确的关键技术且科学可行的得1分；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5.总体服务方案全面详实，完全满足服务需求的得2分；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6.整体方案不全面，与服务需求不相符不得分。</w:t>
            </w: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Calibri" w:hAnsi="Calibri"/>
                <w:color w:val="000000" w:themeColor="text1"/>
                <w:sz w:val="20"/>
                <w:szCs w:val="20"/>
                <w14:textFill>
                  <w14:solidFill>
                    <w14:schemeClr w14:val="tx1"/>
                  </w14:solidFill>
                </w14:textFill>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bidi="ar"/>
                <w14:textFill>
                  <w14:solidFill>
                    <w14:schemeClr w14:val="tx1"/>
                  </w14:solidFill>
                </w14:textFill>
              </w:rPr>
              <w:t>软件设计方案</w:t>
            </w:r>
          </w:p>
        </w:tc>
        <w:tc>
          <w:tcPr>
            <w:tcW w:w="322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bidi="ar"/>
                <w14:textFill>
                  <w14:solidFill>
                    <w14:schemeClr w14:val="tx1"/>
                  </w14:solidFill>
                </w14:textFill>
              </w:rPr>
              <w:t>软件设计方案</w:t>
            </w:r>
            <w:r>
              <w:rPr>
                <w:rFonts w:hint="eastAsia" w:ascii="仿宋_GB2312" w:hAnsi="Calibri" w:eastAsia="仿宋_GB2312" w:cs="仿宋_GB2312"/>
                <w:color w:val="000000" w:themeColor="text1"/>
                <w:lang w:bidi="ar"/>
                <w14:textFill>
                  <w14:solidFill>
                    <w14:schemeClr w14:val="tx1"/>
                  </w14:solidFill>
                </w14:textFill>
              </w:rPr>
              <w:t>包括但不限于系统设计方案、系统详细需求分析、系统运行环境分析、系统接口分析等内容，进行综合评分：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1.具有明确的系统设计方案且内容清晰的得1分；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2.具有明确的系统详细需求分析且内容合理的得1分；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3.具有明确的系统运行环境分析且合理可行的得1分；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4.具有明确的系统接口分析且科学可行的得1分；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bidi="ar"/>
                <w14:textFill>
                  <w14:solidFill>
                    <w14:schemeClr w14:val="tx1"/>
                  </w14:solidFill>
                </w14:textFill>
              </w:rPr>
              <w:t>5.软件设计</w:t>
            </w:r>
            <w:r>
              <w:rPr>
                <w:rFonts w:hint="eastAsia" w:ascii="仿宋_GB2312" w:hAnsi="Calibri" w:eastAsia="仿宋_GB2312" w:cs="仿宋_GB2312"/>
                <w:color w:val="000000" w:themeColor="text1"/>
                <w:lang w:bidi="ar"/>
                <w14:textFill>
                  <w14:solidFill>
                    <w14:schemeClr w14:val="tx1"/>
                  </w14:solidFill>
                </w14:textFill>
              </w:rPr>
              <w:t>方案全面详实，完全满足服务需求的得2分；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6.整体方案不全面，与服务需求不相符不得分。</w:t>
            </w: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Calibri" w:hAnsi="Calibri"/>
                <w:color w:val="000000" w:themeColor="text1"/>
                <w:sz w:val="20"/>
                <w:szCs w:val="20"/>
                <w14:textFill>
                  <w14:solidFill>
                    <w14:schemeClr w14:val="tx1"/>
                  </w14:solidFill>
                </w14:textFill>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项目实施方案</w:t>
            </w:r>
          </w:p>
        </w:tc>
        <w:tc>
          <w:tcPr>
            <w:tcW w:w="322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ind w:firstLine="480" w:firstLineChars="200"/>
              <w:rPr>
                <w:rFonts w:ascii="仿宋_GB2312" w:eastAsia="仿宋_GB2312" w:cs="仿宋_GB2312"/>
                <w:color w:val="auto"/>
              </w:rPr>
            </w:pPr>
            <w:r>
              <w:rPr>
                <w:rFonts w:hint="eastAsia" w:ascii="仿宋_GB2312" w:hAnsi="仿宋" w:eastAsia="仿宋_GB2312" w:cs="仿宋_GB2312"/>
                <w:color w:val="auto"/>
                <w:lang w:bidi="ar"/>
              </w:rPr>
              <w:t>项目实施方案包括但不限于项目实施进度安排、人员配置及培训计划、项目风险管控、项目质量</w:t>
            </w:r>
            <w:r>
              <w:rPr>
                <w:rFonts w:hint="eastAsia" w:ascii="仿宋_GB2312" w:hAnsi="仿宋" w:eastAsia="仿宋_GB2312" w:cs="仿宋_GB2312"/>
                <w:color w:val="auto"/>
                <w:lang w:eastAsia="zh-CN" w:bidi="ar"/>
              </w:rPr>
              <w:t>、</w:t>
            </w:r>
            <w:r>
              <w:rPr>
                <w:rFonts w:hint="eastAsia" w:ascii="仿宋_GB2312" w:hAnsi="仿宋" w:eastAsia="仿宋_GB2312" w:cs="仿宋_GB2312"/>
                <w:color w:val="auto"/>
                <w:lang w:bidi="ar"/>
              </w:rPr>
              <w:t>信息安全管理</w:t>
            </w:r>
            <w:r>
              <w:rPr>
                <w:rFonts w:hint="eastAsia" w:ascii="仿宋_GB2312" w:hAnsi="仿宋" w:eastAsia="仿宋_GB2312" w:cs="仿宋_GB2312"/>
                <w:color w:val="auto"/>
                <w:lang w:val="en-US" w:eastAsia="zh-CN" w:bidi="ar"/>
              </w:rPr>
              <w:t>及</w:t>
            </w:r>
            <w:r>
              <w:rPr>
                <w:rFonts w:hint="eastAsia" w:ascii="仿宋_GB2312" w:hAnsi="仿宋" w:eastAsia="仿宋_GB2312" w:cs="仿宋_GB2312"/>
                <w:color w:val="auto"/>
                <w:lang w:bidi="ar"/>
              </w:rPr>
              <w:t>运维保障措施等内容，</w:t>
            </w:r>
            <w:r>
              <w:rPr>
                <w:rFonts w:hint="eastAsia" w:ascii="仿宋_GB2312" w:hAnsi="Calibri" w:eastAsia="仿宋_GB2312" w:cs="仿宋_GB2312"/>
                <w:color w:val="auto"/>
                <w:lang w:bidi="ar"/>
              </w:rPr>
              <w:t>进行综合评分：</w:t>
            </w:r>
          </w:p>
          <w:p>
            <w:pPr>
              <w:pStyle w:val="16"/>
              <w:snapToGrid w:val="0"/>
              <w:spacing w:before="0" w:beforeAutospacing="0" w:after="0" w:afterAutospacing="0" w:line="288" w:lineRule="auto"/>
              <w:ind w:firstLine="480" w:firstLineChars="200"/>
              <w:rPr>
                <w:rFonts w:ascii="仿宋_GB2312" w:eastAsia="仿宋_GB2312" w:cs="仿宋_GB2312"/>
                <w:color w:val="auto"/>
              </w:rPr>
            </w:pPr>
            <w:r>
              <w:rPr>
                <w:rFonts w:hint="eastAsia" w:ascii="仿宋_GB2312" w:hAnsi="Calibri" w:eastAsia="仿宋_GB2312" w:cs="仿宋_GB2312"/>
                <w:color w:val="auto"/>
                <w:lang w:bidi="ar"/>
              </w:rPr>
              <w:t>1.具有明确的</w:t>
            </w:r>
            <w:r>
              <w:rPr>
                <w:rFonts w:hint="eastAsia" w:ascii="仿宋_GB2312" w:eastAsia="仿宋_GB2312" w:cs="仿宋_GB2312"/>
                <w:color w:val="auto"/>
                <w:lang w:bidi="ar"/>
              </w:rPr>
              <w:t>项目实施进度安排</w:t>
            </w:r>
            <w:r>
              <w:rPr>
                <w:rFonts w:hint="eastAsia" w:ascii="仿宋_GB2312" w:hAnsi="Calibri" w:eastAsia="仿宋_GB2312" w:cs="仿宋_GB2312"/>
                <w:color w:val="auto"/>
                <w:lang w:bidi="ar"/>
              </w:rPr>
              <w:t>且内容清晰的得1分；</w:t>
            </w:r>
          </w:p>
          <w:p>
            <w:pPr>
              <w:pStyle w:val="16"/>
              <w:snapToGrid w:val="0"/>
              <w:spacing w:before="0" w:beforeAutospacing="0" w:after="0" w:afterAutospacing="0" w:line="288" w:lineRule="auto"/>
              <w:ind w:firstLine="480" w:firstLineChars="200"/>
              <w:rPr>
                <w:rFonts w:ascii="仿宋_GB2312" w:eastAsia="仿宋_GB2312" w:cs="仿宋_GB2312"/>
                <w:color w:val="auto"/>
              </w:rPr>
            </w:pPr>
            <w:r>
              <w:rPr>
                <w:rFonts w:hint="eastAsia" w:ascii="仿宋_GB2312" w:hAnsi="Calibri" w:eastAsia="仿宋_GB2312" w:cs="仿宋_GB2312"/>
                <w:color w:val="auto"/>
                <w:lang w:bidi="ar"/>
              </w:rPr>
              <w:t>2.具有明确的</w:t>
            </w:r>
            <w:r>
              <w:rPr>
                <w:rFonts w:hint="eastAsia" w:ascii="仿宋_GB2312" w:hAnsi="仿宋" w:eastAsia="仿宋_GB2312" w:cs="仿宋_GB2312"/>
                <w:color w:val="auto"/>
                <w:lang w:bidi="ar"/>
              </w:rPr>
              <w:t>人员配置及培训计划</w:t>
            </w:r>
            <w:r>
              <w:rPr>
                <w:rFonts w:hint="eastAsia" w:ascii="仿宋_GB2312" w:hAnsi="Calibri" w:eastAsia="仿宋_GB2312" w:cs="仿宋_GB2312"/>
                <w:color w:val="auto"/>
                <w:lang w:bidi="ar"/>
              </w:rPr>
              <w:t>且内容合理的得1分；</w:t>
            </w:r>
          </w:p>
          <w:p>
            <w:pPr>
              <w:pStyle w:val="16"/>
              <w:snapToGrid w:val="0"/>
              <w:spacing w:before="0" w:beforeAutospacing="0" w:after="0" w:afterAutospacing="0" w:line="288" w:lineRule="auto"/>
              <w:ind w:firstLine="480" w:firstLineChars="200"/>
              <w:rPr>
                <w:rFonts w:ascii="仿宋_GB2312" w:eastAsia="仿宋_GB2312" w:cs="仿宋_GB2312"/>
                <w:color w:val="auto"/>
              </w:rPr>
            </w:pPr>
            <w:r>
              <w:rPr>
                <w:rFonts w:hint="eastAsia" w:ascii="仿宋_GB2312" w:hAnsi="Calibri" w:eastAsia="仿宋_GB2312" w:cs="仿宋_GB2312"/>
                <w:color w:val="auto"/>
                <w:lang w:bidi="ar"/>
              </w:rPr>
              <w:t>3.具有明确的</w:t>
            </w:r>
            <w:r>
              <w:rPr>
                <w:rFonts w:hint="eastAsia" w:ascii="仿宋_GB2312" w:eastAsia="仿宋_GB2312" w:cs="仿宋_GB2312"/>
                <w:color w:val="auto"/>
                <w:lang w:bidi="ar"/>
              </w:rPr>
              <w:t>项目风险管控</w:t>
            </w:r>
            <w:r>
              <w:rPr>
                <w:rFonts w:hint="eastAsia" w:ascii="仿宋_GB2312" w:hAnsi="Calibri" w:eastAsia="仿宋_GB2312" w:cs="仿宋_GB2312"/>
                <w:color w:val="auto"/>
                <w:lang w:bidi="ar"/>
              </w:rPr>
              <w:t>且合理可行的得1分；</w:t>
            </w:r>
          </w:p>
          <w:p>
            <w:pPr>
              <w:pStyle w:val="16"/>
              <w:snapToGrid w:val="0"/>
              <w:spacing w:before="0" w:beforeAutospacing="0" w:after="0" w:afterAutospacing="0" w:line="288" w:lineRule="auto"/>
              <w:ind w:firstLine="480" w:firstLineChars="200"/>
              <w:rPr>
                <w:rFonts w:ascii="仿宋_GB2312" w:eastAsia="仿宋_GB2312" w:cs="仿宋_GB2312"/>
                <w:color w:val="auto"/>
              </w:rPr>
            </w:pPr>
            <w:r>
              <w:rPr>
                <w:rFonts w:hint="eastAsia" w:ascii="仿宋_GB2312" w:hAnsi="Calibri" w:eastAsia="仿宋_GB2312" w:cs="仿宋_GB2312"/>
                <w:color w:val="auto"/>
                <w:lang w:bidi="ar"/>
              </w:rPr>
              <w:t>4.具有明确的</w:t>
            </w:r>
            <w:r>
              <w:rPr>
                <w:rFonts w:hint="eastAsia" w:ascii="仿宋_GB2312" w:hAnsi="仿宋" w:eastAsia="仿宋_GB2312" w:cs="仿宋_GB2312"/>
                <w:color w:val="auto"/>
                <w:lang w:bidi="ar"/>
              </w:rPr>
              <w:t>项目质量及信息安全管理</w:t>
            </w:r>
            <w:r>
              <w:rPr>
                <w:rFonts w:hint="eastAsia" w:ascii="仿宋_GB2312" w:hAnsi="Calibri" w:eastAsia="仿宋_GB2312" w:cs="仿宋_GB2312"/>
                <w:color w:val="auto"/>
                <w:lang w:bidi="ar"/>
              </w:rPr>
              <w:t>且科学可行的得1分；</w:t>
            </w:r>
          </w:p>
          <w:p>
            <w:pPr>
              <w:pStyle w:val="16"/>
              <w:snapToGrid w:val="0"/>
              <w:spacing w:before="0" w:beforeAutospacing="0" w:after="0" w:afterAutospacing="0" w:line="288" w:lineRule="auto"/>
              <w:ind w:firstLine="480" w:firstLineChars="200"/>
              <w:rPr>
                <w:rFonts w:ascii="仿宋_GB2312" w:eastAsia="仿宋_GB2312" w:cs="仿宋_GB2312"/>
                <w:color w:val="auto"/>
              </w:rPr>
            </w:pPr>
            <w:r>
              <w:rPr>
                <w:rFonts w:hint="eastAsia" w:ascii="仿宋_GB2312" w:hAnsi="Calibri" w:eastAsia="仿宋_GB2312" w:cs="仿宋_GB2312"/>
                <w:color w:val="auto"/>
                <w:lang w:bidi="ar"/>
              </w:rPr>
              <w:t>5.具有明确的</w:t>
            </w:r>
            <w:r>
              <w:rPr>
                <w:rFonts w:hint="eastAsia" w:ascii="仿宋_GB2312" w:hAnsi="仿宋" w:eastAsia="仿宋_GB2312" w:cs="仿宋_GB2312"/>
                <w:color w:val="auto"/>
                <w:lang w:bidi="ar"/>
              </w:rPr>
              <w:t>运维保障措施</w:t>
            </w:r>
            <w:r>
              <w:rPr>
                <w:rFonts w:hint="eastAsia" w:ascii="仿宋_GB2312" w:hAnsi="Calibri" w:eastAsia="仿宋_GB2312" w:cs="仿宋_GB2312"/>
                <w:color w:val="auto"/>
                <w:lang w:bidi="ar"/>
              </w:rPr>
              <w:t>且合理可行的得1分；</w:t>
            </w:r>
          </w:p>
          <w:p>
            <w:pPr>
              <w:pStyle w:val="16"/>
              <w:snapToGrid w:val="0"/>
              <w:spacing w:before="0" w:beforeAutospacing="0" w:after="0" w:afterAutospacing="0" w:line="288" w:lineRule="auto"/>
              <w:ind w:firstLine="480" w:firstLineChars="200"/>
              <w:rPr>
                <w:rFonts w:ascii="仿宋_GB2312" w:eastAsia="仿宋_GB2312" w:cs="仿宋_GB2312"/>
                <w:color w:val="auto"/>
              </w:rPr>
            </w:pPr>
            <w:r>
              <w:rPr>
                <w:rFonts w:hint="eastAsia" w:ascii="仿宋_GB2312" w:hAnsi="仿宋_GB2312" w:eastAsia="仿宋_GB2312" w:cs="仿宋_GB2312"/>
                <w:color w:val="auto"/>
                <w:lang w:bidi="ar"/>
              </w:rPr>
              <w:t>6.项目实施方案</w:t>
            </w:r>
            <w:r>
              <w:rPr>
                <w:rFonts w:hint="eastAsia" w:ascii="仿宋_GB2312" w:hAnsi="Calibri" w:eastAsia="仿宋_GB2312" w:cs="仿宋_GB2312"/>
                <w:color w:val="auto"/>
                <w:lang w:bidi="ar"/>
              </w:rPr>
              <w:t>全面详实，完全满足服务需求的得1分；</w:t>
            </w:r>
          </w:p>
          <w:p>
            <w:pPr>
              <w:snapToGrid w:val="0"/>
              <w:spacing w:line="288" w:lineRule="auto"/>
              <w:ind w:firstLine="537" w:firstLineChars="224"/>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sz w:val="24"/>
                <w:lang w:bidi="ar"/>
              </w:rPr>
              <w:t>7.整体方案不全面，与服务需求不相符不得分。</w:t>
            </w: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Calibri" w:hAnsi="Calibri"/>
                <w:color w:val="000000" w:themeColor="text1"/>
                <w:sz w:val="20"/>
                <w:szCs w:val="20"/>
                <w14:textFill>
                  <w14:solidFill>
                    <w14:schemeClr w14:val="tx1"/>
                  </w14:solidFill>
                </w14:textFill>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业务整合方案</w:t>
            </w:r>
          </w:p>
        </w:tc>
        <w:tc>
          <w:tcPr>
            <w:tcW w:w="322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firstLine="480" w:firstLineChars="200"/>
              <w:jc w:val="left"/>
              <w:textAlignment w:val="center"/>
              <w:rPr>
                <w:rFonts w:ascii="仿宋_GB2312" w:eastAsia="仿宋_GB2312" w:cs="仿宋_GB2312"/>
                <w:color w:val="auto"/>
                <w:kern w:val="0"/>
                <w:sz w:val="24"/>
              </w:rPr>
            </w:pPr>
            <w:r>
              <w:rPr>
                <w:rFonts w:hint="eastAsia" w:ascii="仿宋_GB2312" w:hAnsi="Calibri" w:eastAsia="仿宋_GB2312" w:cs="仿宋_GB2312"/>
                <w:color w:val="auto"/>
                <w:sz w:val="24"/>
                <w:lang w:bidi="ar"/>
              </w:rPr>
              <w:t>业务整合方案中需体现原业务系统与现业务系统的整合思路，包括整合前后业务系统对比及相应整合等内容，</w:t>
            </w:r>
            <w:r>
              <w:rPr>
                <w:rFonts w:hint="eastAsia" w:ascii="仿宋_GB2312" w:hAnsi="Calibri" w:eastAsia="仿宋_GB2312" w:cs="仿宋_GB2312"/>
                <w:color w:val="auto"/>
                <w:kern w:val="0"/>
                <w:sz w:val="24"/>
                <w:lang w:bidi="ar"/>
              </w:rPr>
              <w:t>进行综合评分</w:t>
            </w:r>
            <w:r>
              <w:rPr>
                <w:rFonts w:hint="eastAsia" w:ascii="仿宋_GB2312" w:hAnsi="仿宋_GB2312" w:eastAsia="仿宋_GB2312" w:cs="仿宋_GB2312"/>
                <w:color w:val="auto"/>
                <w:sz w:val="24"/>
                <w:lang w:bidi="ar"/>
              </w:rPr>
              <w:t>：</w:t>
            </w:r>
          </w:p>
          <w:p>
            <w:pPr>
              <w:snapToGrid w:val="0"/>
              <w:spacing w:line="288" w:lineRule="auto"/>
              <w:ind w:firstLine="480" w:firstLineChars="200"/>
              <w:jc w:val="left"/>
              <w:textAlignment w:val="center"/>
              <w:rPr>
                <w:rFonts w:ascii="仿宋_GB2312" w:eastAsia="仿宋_GB2312" w:cs="仿宋_GB2312"/>
                <w:color w:val="auto"/>
                <w:sz w:val="24"/>
              </w:rPr>
            </w:pPr>
            <w:r>
              <w:rPr>
                <w:rFonts w:hint="eastAsia" w:ascii="仿宋_GB2312" w:hAnsi="Calibri" w:eastAsia="仿宋_GB2312" w:cs="仿宋_GB2312"/>
                <w:color w:val="auto"/>
                <w:sz w:val="24"/>
                <w:lang w:bidi="ar"/>
              </w:rPr>
              <w:t>1.提供平台系统与省平台的接口数据对接服务方案得1分；</w:t>
            </w:r>
          </w:p>
          <w:p>
            <w:pPr>
              <w:snapToGrid w:val="0"/>
              <w:spacing w:line="288" w:lineRule="auto"/>
              <w:ind w:firstLine="480" w:firstLineChars="200"/>
              <w:jc w:val="left"/>
              <w:textAlignment w:val="center"/>
              <w:rPr>
                <w:rFonts w:ascii="仿宋_GB2312" w:eastAsia="仿宋_GB2312" w:cs="仿宋_GB2312"/>
                <w:color w:val="auto"/>
                <w:sz w:val="24"/>
              </w:rPr>
            </w:pPr>
            <w:r>
              <w:rPr>
                <w:rFonts w:hint="eastAsia" w:ascii="仿宋_GB2312" w:hAnsi="Calibri" w:eastAsia="仿宋_GB2312" w:cs="仿宋_GB2312"/>
                <w:color w:val="auto"/>
                <w:sz w:val="24"/>
                <w:lang w:bidi="ar"/>
              </w:rPr>
              <w:t>2.方案中需体现现有业务功能情况，现有系统功能对原业务功能的拆分、合并描述得1分；</w:t>
            </w:r>
          </w:p>
          <w:p>
            <w:pPr>
              <w:snapToGrid w:val="0"/>
              <w:spacing w:line="288" w:lineRule="auto"/>
              <w:ind w:firstLine="480" w:firstLineChars="200"/>
              <w:textAlignment w:val="center"/>
              <w:rPr>
                <w:rFonts w:ascii="仿宋_GB2312" w:eastAsia="仿宋_GB2312" w:cs="仿宋_GB2312"/>
                <w:color w:val="auto"/>
                <w:sz w:val="24"/>
              </w:rPr>
            </w:pPr>
            <w:r>
              <w:rPr>
                <w:rFonts w:hint="eastAsia" w:ascii="仿宋_GB2312" w:hAnsi="Calibri" w:eastAsia="仿宋_GB2312" w:cs="仿宋_GB2312"/>
                <w:color w:val="auto"/>
                <w:sz w:val="24"/>
                <w:lang w:bidi="ar"/>
              </w:rPr>
              <w:t>3.提供多数据源数据迁移方案，确保迁移的数据在新的系统中正常使用得2分；</w:t>
            </w:r>
          </w:p>
          <w:p>
            <w:pPr>
              <w:snapToGrid w:val="0"/>
              <w:spacing w:line="288" w:lineRule="auto"/>
              <w:ind w:firstLine="480" w:firstLineChars="200"/>
              <w:textAlignment w:val="center"/>
              <w:rPr>
                <w:rFonts w:ascii="仿宋_GB2312" w:eastAsia="仿宋_GB2312" w:cs="仿宋_GB2312"/>
                <w:color w:val="auto"/>
                <w:sz w:val="24"/>
              </w:rPr>
            </w:pPr>
            <w:r>
              <w:rPr>
                <w:rFonts w:hint="eastAsia" w:ascii="仿宋_GB2312" w:hAnsi="Calibri" w:eastAsia="仿宋_GB2312" w:cs="仿宋_GB2312"/>
                <w:color w:val="auto"/>
                <w:sz w:val="24"/>
                <w:lang w:bidi="ar"/>
              </w:rPr>
              <w:t>4.方案中需体原业务系统与现业务系统的整合思路，包括整合前后业务系统对比及相应整合内容。得2分；</w:t>
            </w:r>
          </w:p>
          <w:p>
            <w:pPr>
              <w:snapToGrid w:val="0"/>
              <w:spacing w:line="288" w:lineRule="auto"/>
              <w:ind w:firstLine="480" w:firstLineChars="200"/>
              <w:textAlignment w:val="center"/>
              <w:rPr>
                <w:rFonts w:ascii="仿宋_GB2312" w:hAnsi="宋体" w:eastAsia="仿宋_GB2312" w:cs="仿宋_GB2312"/>
                <w:color w:val="auto"/>
                <w:sz w:val="24"/>
              </w:rPr>
            </w:pPr>
            <w:r>
              <w:rPr>
                <w:rFonts w:hint="eastAsia" w:ascii="仿宋_GB2312" w:hAnsi="宋体" w:eastAsia="仿宋_GB2312" w:cs="仿宋_GB2312"/>
                <w:color w:val="auto"/>
                <w:sz w:val="24"/>
                <w:lang w:bidi="ar"/>
              </w:rPr>
              <w:t>5.整体方案不全面，与服务需求不相符不得分。</w:t>
            </w: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Calibri" w:hAnsi="Calibri"/>
                <w:color w:val="000000" w:themeColor="text1"/>
                <w:sz w:val="20"/>
                <w:szCs w:val="20"/>
                <w14:textFill>
                  <w14:solidFill>
                    <w14:schemeClr w14:val="tx1"/>
                  </w14:solidFill>
                </w14:textFill>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bidi="ar"/>
                <w14:textFill>
                  <w14:solidFill>
                    <w14:schemeClr w14:val="tx1"/>
                  </w14:solidFill>
                </w14:textFill>
              </w:rPr>
              <w:t>项目运维方案</w:t>
            </w:r>
          </w:p>
        </w:tc>
        <w:tc>
          <w:tcPr>
            <w:tcW w:w="322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lang w:bidi="ar"/>
                <w14:textFill>
                  <w14:solidFill>
                    <w14:schemeClr w14:val="tx1"/>
                  </w14:solidFill>
                </w14:textFill>
              </w:rPr>
              <w:t>项目运维方案包括但不限于项目背景及需求分析、项目运维总体思路、运维服务目标与原则、运维服务承诺等内容，</w:t>
            </w:r>
            <w:r>
              <w:rPr>
                <w:rFonts w:hint="eastAsia" w:ascii="仿宋_GB2312" w:hAnsi="Calibri" w:eastAsia="仿宋_GB2312" w:cs="仿宋_GB2312"/>
                <w:color w:val="000000" w:themeColor="text1"/>
                <w:lang w:bidi="ar"/>
                <w14:textFill>
                  <w14:solidFill>
                    <w14:schemeClr w14:val="tx1"/>
                  </w14:solidFill>
                </w14:textFill>
              </w:rPr>
              <w:t>进行综合评分：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1.具有明确的</w:t>
            </w:r>
            <w:r>
              <w:rPr>
                <w:rFonts w:hint="eastAsia" w:ascii="仿宋_GB2312" w:hAnsi="仿宋" w:eastAsia="仿宋_GB2312" w:cs="仿宋_GB2312"/>
                <w:color w:val="000000" w:themeColor="text1"/>
                <w:lang w:bidi="ar"/>
                <w14:textFill>
                  <w14:solidFill>
                    <w14:schemeClr w14:val="tx1"/>
                  </w14:solidFill>
                </w14:textFill>
              </w:rPr>
              <w:t>项目背景及需求分析</w:t>
            </w:r>
            <w:r>
              <w:rPr>
                <w:rFonts w:hint="eastAsia" w:ascii="仿宋_GB2312" w:hAnsi="Calibri" w:eastAsia="仿宋_GB2312" w:cs="仿宋_GB2312"/>
                <w:color w:val="000000" w:themeColor="text1"/>
                <w:lang w:bidi="ar"/>
                <w14:textFill>
                  <w14:solidFill>
                    <w14:schemeClr w14:val="tx1"/>
                  </w14:solidFill>
                </w14:textFill>
              </w:rPr>
              <w:t>且内容清晰的得1分；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2.具有明确的</w:t>
            </w:r>
            <w:r>
              <w:rPr>
                <w:rFonts w:hint="eastAsia" w:ascii="仿宋_GB2312" w:hAnsi="仿宋" w:eastAsia="仿宋_GB2312" w:cs="仿宋_GB2312"/>
                <w:color w:val="000000" w:themeColor="text1"/>
                <w:lang w:bidi="ar"/>
                <w14:textFill>
                  <w14:solidFill>
                    <w14:schemeClr w14:val="tx1"/>
                  </w14:solidFill>
                </w14:textFill>
              </w:rPr>
              <w:t>项目运维总体思路</w:t>
            </w:r>
            <w:r>
              <w:rPr>
                <w:rFonts w:hint="eastAsia" w:ascii="仿宋_GB2312" w:hAnsi="Calibri" w:eastAsia="仿宋_GB2312" w:cs="仿宋_GB2312"/>
                <w:color w:val="000000" w:themeColor="text1"/>
                <w:lang w:bidi="ar"/>
                <w14:textFill>
                  <w14:solidFill>
                    <w14:schemeClr w14:val="tx1"/>
                  </w14:solidFill>
                </w14:textFill>
              </w:rPr>
              <w:t>且内容合理的得1分；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3.具有明确的</w:t>
            </w:r>
            <w:r>
              <w:rPr>
                <w:rFonts w:hint="eastAsia" w:ascii="仿宋_GB2312" w:hAnsi="仿宋" w:eastAsia="仿宋_GB2312" w:cs="仿宋_GB2312"/>
                <w:color w:val="000000" w:themeColor="text1"/>
                <w:lang w:bidi="ar"/>
                <w14:textFill>
                  <w14:solidFill>
                    <w14:schemeClr w14:val="tx1"/>
                  </w14:solidFill>
                </w14:textFill>
              </w:rPr>
              <w:t>运维服务目标与原则</w:t>
            </w:r>
            <w:r>
              <w:rPr>
                <w:rFonts w:hint="eastAsia" w:ascii="仿宋_GB2312" w:hAnsi="Calibri" w:eastAsia="仿宋_GB2312" w:cs="仿宋_GB2312"/>
                <w:color w:val="000000" w:themeColor="text1"/>
                <w:lang w:bidi="ar"/>
                <w14:textFill>
                  <w14:solidFill>
                    <w14:schemeClr w14:val="tx1"/>
                  </w14:solidFill>
                </w14:textFill>
              </w:rPr>
              <w:t>且合理可行的得1分；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4.具有明确的</w:t>
            </w:r>
            <w:r>
              <w:rPr>
                <w:rFonts w:hint="eastAsia" w:ascii="仿宋_GB2312" w:hAnsi="仿宋" w:eastAsia="仿宋_GB2312" w:cs="仿宋_GB2312"/>
                <w:color w:val="000000" w:themeColor="text1"/>
                <w:lang w:bidi="ar"/>
                <w14:textFill>
                  <w14:solidFill>
                    <w14:schemeClr w14:val="tx1"/>
                  </w14:solidFill>
                </w14:textFill>
              </w:rPr>
              <w:t>运维服务承诺</w:t>
            </w:r>
            <w:r>
              <w:rPr>
                <w:rFonts w:hint="eastAsia" w:ascii="仿宋_GB2312" w:hAnsi="Calibri" w:eastAsia="仿宋_GB2312" w:cs="仿宋_GB2312"/>
                <w:color w:val="000000" w:themeColor="text1"/>
                <w:lang w:bidi="ar"/>
                <w14:textFill>
                  <w14:solidFill>
                    <w14:schemeClr w14:val="tx1"/>
                  </w14:solidFill>
                </w14:textFill>
              </w:rPr>
              <w:t>且科学可行的得1分；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bidi="ar"/>
                <w14:textFill>
                  <w14:solidFill>
                    <w14:schemeClr w14:val="tx1"/>
                  </w14:solidFill>
                </w14:textFill>
              </w:rPr>
              <w:t>5.项目运维方案</w:t>
            </w:r>
            <w:r>
              <w:rPr>
                <w:rFonts w:hint="eastAsia" w:ascii="仿宋_GB2312" w:hAnsi="Calibri" w:eastAsia="仿宋_GB2312" w:cs="仿宋_GB2312"/>
                <w:color w:val="000000" w:themeColor="text1"/>
                <w:lang w:bidi="ar"/>
                <w14:textFill>
                  <w14:solidFill>
                    <w14:schemeClr w14:val="tx1"/>
                  </w14:solidFill>
                </w14:textFill>
              </w:rPr>
              <w:t>全面详实，完全满足服务需求的得2分；</w:t>
            </w:r>
          </w:p>
          <w:p>
            <w:pPr>
              <w:pStyle w:val="16"/>
              <w:snapToGrid w:val="0"/>
              <w:spacing w:before="0" w:beforeAutospacing="0" w:after="0" w:afterAutospacing="0" w:line="288" w:lineRule="auto"/>
              <w:ind w:firstLine="480" w:firstLineChars="200"/>
              <w:rPr>
                <w:rFonts w:ascii="仿宋_GB2312" w:hAnsi="仿宋" w:eastAsia="仿宋_GB2312" w:cs="仿宋_GB2312"/>
                <w:color w:val="000000" w:themeColor="text1"/>
                <w14:textFill>
                  <w14:solidFill>
                    <w14:schemeClr w14:val="tx1"/>
                  </w14:solidFill>
                </w14:textFill>
              </w:rPr>
            </w:pPr>
            <w:r>
              <w:rPr>
                <w:rFonts w:hint="eastAsia" w:ascii="仿宋_GB2312" w:eastAsia="仿宋_GB2312" w:cs="仿宋_GB2312"/>
                <w:color w:val="000000" w:themeColor="text1"/>
                <w:lang w:bidi="ar"/>
                <w14:textFill>
                  <w14:solidFill>
                    <w14:schemeClr w14:val="tx1"/>
                  </w14:solidFill>
                </w14:textFill>
              </w:rPr>
              <w:t>6.整体方案不全面，与服务需求不相符不得分。</w:t>
            </w: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Calibri" w:hAnsi="Calibri"/>
                <w:color w:val="000000" w:themeColor="text1"/>
                <w:sz w:val="20"/>
                <w:szCs w:val="20"/>
                <w14:textFill>
                  <w14:solidFill>
                    <w14:schemeClr w14:val="tx1"/>
                  </w14:solidFill>
                </w14:textFill>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bidi="ar"/>
                <w14:textFill>
                  <w14:solidFill>
                    <w14:schemeClr w14:val="tx1"/>
                  </w14:solidFill>
                </w14:textFill>
              </w:rPr>
              <w:t>信息安全管理方案</w:t>
            </w:r>
          </w:p>
        </w:tc>
        <w:tc>
          <w:tcPr>
            <w:tcW w:w="322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ind w:firstLine="480" w:firstLineChars="200"/>
              <w:rPr>
                <w:rFonts w:ascii="仿宋_GB2312" w:eastAsia="仿宋_GB2312" w:cs="Arial"/>
                <w:color w:val="000000" w:themeColor="text1"/>
                <w14:textFill>
                  <w14:solidFill>
                    <w14:schemeClr w14:val="tx1"/>
                  </w14:solidFill>
                </w14:textFill>
              </w:rPr>
            </w:pPr>
            <w:r>
              <w:rPr>
                <w:rFonts w:hint="eastAsia" w:ascii="仿宋_GB2312" w:hAnsi="Calibri" w:eastAsia="仿宋_GB2312" w:cs="Arial"/>
                <w:color w:val="000000" w:themeColor="text1"/>
                <w:lang w:bidi="ar"/>
                <w14:textFill>
                  <w14:solidFill>
                    <w14:schemeClr w14:val="tx1"/>
                  </w14:solidFill>
                </w14:textFill>
              </w:rPr>
              <w:t>信息安全管理方案包括但不限于内部的保密制度、保密措施、信息安全管理制度、信息完整性保障制度等内容，进行综合评分：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1.具有明确的</w:t>
            </w:r>
            <w:r>
              <w:rPr>
                <w:rFonts w:hint="eastAsia" w:ascii="仿宋_GB2312" w:hAnsi="Calibri" w:eastAsia="仿宋_GB2312" w:cs="Arial"/>
                <w:color w:val="000000" w:themeColor="text1"/>
                <w:lang w:bidi="ar"/>
                <w14:textFill>
                  <w14:solidFill>
                    <w14:schemeClr w14:val="tx1"/>
                  </w14:solidFill>
                </w14:textFill>
              </w:rPr>
              <w:t>内部的保密制度</w:t>
            </w:r>
            <w:r>
              <w:rPr>
                <w:rFonts w:hint="eastAsia" w:ascii="仿宋_GB2312" w:hAnsi="Calibri" w:eastAsia="仿宋_GB2312" w:cs="仿宋_GB2312"/>
                <w:color w:val="000000" w:themeColor="text1"/>
                <w:lang w:bidi="ar"/>
                <w14:textFill>
                  <w14:solidFill>
                    <w14:schemeClr w14:val="tx1"/>
                  </w14:solidFill>
                </w14:textFill>
              </w:rPr>
              <w:t>且合理可行的得1分；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2.具有明确的</w:t>
            </w:r>
            <w:r>
              <w:rPr>
                <w:rFonts w:hint="eastAsia" w:ascii="仿宋_GB2312" w:hAnsi="Calibri" w:eastAsia="仿宋_GB2312" w:cs="Arial"/>
                <w:color w:val="000000" w:themeColor="text1"/>
                <w:lang w:bidi="ar"/>
                <w14:textFill>
                  <w14:solidFill>
                    <w14:schemeClr w14:val="tx1"/>
                  </w14:solidFill>
                </w14:textFill>
              </w:rPr>
              <w:t>保密措施</w:t>
            </w:r>
            <w:r>
              <w:rPr>
                <w:rFonts w:hint="eastAsia" w:ascii="仿宋_GB2312" w:hAnsi="Calibri" w:eastAsia="仿宋_GB2312" w:cs="仿宋_GB2312"/>
                <w:color w:val="000000" w:themeColor="text1"/>
                <w:lang w:bidi="ar"/>
                <w14:textFill>
                  <w14:solidFill>
                    <w14:schemeClr w14:val="tx1"/>
                  </w14:solidFill>
                </w14:textFill>
              </w:rPr>
              <w:t>且内容合理的得1分；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3.具有明确的</w:t>
            </w:r>
            <w:r>
              <w:rPr>
                <w:rFonts w:hint="eastAsia" w:ascii="仿宋_GB2312" w:hAnsi="Calibri" w:eastAsia="仿宋_GB2312" w:cs="Arial"/>
                <w:color w:val="000000" w:themeColor="text1"/>
                <w:lang w:bidi="ar"/>
                <w14:textFill>
                  <w14:solidFill>
                    <w14:schemeClr w14:val="tx1"/>
                  </w14:solidFill>
                </w14:textFill>
              </w:rPr>
              <w:t>信息安全管理制度</w:t>
            </w:r>
            <w:r>
              <w:rPr>
                <w:rFonts w:hint="eastAsia" w:ascii="仿宋_GB2312" w:hAnsi="Calibri" w:eastAsia="仿宋_GB2312" w:cs="仿宋_GB2312"/>
                <w:color w:val="000000" w:themeColor="text1"/>
                <w:lang w:bidi="ar"/>
                <w14:textFill>
                  <w14:solidFill>
                    <w14:schemeClr w14:val="tx1"/>
                  </w14:solidFill>
                </w14:textFill>
              </w:rPr>
              <w:t>且内容清晰的得1分；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Calibri" w:eastAsia="仿宋_GB2312" w:cs="仿宋_GB2312"/>
                <w:color w:val="000000" w:themeColor="text1"/>
                <w:lang w:bidi="ar"/>
                <w14:textFill>
                  <w14:solidFill>
                    <w14:schemeClr w14:val="tx1"/>
                  </w14:solidFill>
                </w14:textFill>
              </w:rPr>
              <w:t>4.具有明确的</w:t>
            </w:r>
            <w:r>
              <w:rPr>
                <w:rFonts w:hint="eastAsia" w:ascii="仿宋_GB2312" w:hAnsi="Calibri" w:eastAsia="仿宋_GB2312" w:cs="Arial"/>
                <w:color w:val="000000" w:themeColor="text1"/>
                <w:lang w:bidi="ar"/>
                <w14:textFill>
                  <w14:solidFill>
                    <w14:schemeClr w14:val="tx1"/>
                  </w14:solidFill>
                </w14:textFill>
              </w:rPr>
              <w:t>信息完整性保障制度</w:t>
            </w:r>
            <w:r>
              <w:rPr>
                <w:rFonts w:hint="eastAsia" w:ascii="仿宋_GB2312" w:hAnsi="Calibri" w:eastAsia="仿宋_GB2312" w:cs="仿宋_GB2312"/>
                <w:color w:val="000000" w:themeColor="text1"/>
                <w:lang w:bidi="ar"/>
                <w14:textFill>
                  <w14:solidFill>
                    <w14:schemeClr w14:val="tx1"/>
                  </w14:solidFill>
                </w14:textFill>
              </w:rPr>
              <w:t>且科学可行的得1分；</w:t>
            </w:r>
          </w:p>
          <w:p>
            <w:pPr>
              <w:pStyle w:val="16"/>
              <w:snapToGrid w:val="0"/>
              <w:spacing w:before="0" w:beforeAutospacing="0" w:after="0" w:afterAutospacing="0" w:line="288" w:lineRule="auto"/>
              <w:ind w:firstLine="480" w:firstLineChars="200"/>
              <w:rPr>
                <w:rFonts w:asci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bidi="ar"/>
                <w14:textFill>
                  <w14:solidFill>
                    <w14:schemeClr w14:val="tx1"/>
                  </w14:solidFill>
                </w14:textFill>
              </w:rPr>
              <w:t>5.信息安全管理方案</w:t>
            </w:r>
            <w:r>
              <w:rPr>
                <w:rFonts w:hint="eastAsia" w:ascii="仿宋_GB2312" w:hAnsi="Calibri" w:eastAsia="仿宋_GB2312" w:cs="仿宋_GB2312"/>
                <w:color w:val="000000" w:themeColor="text1"/>
                <w:lang w:bidi="ar"/>
                <w14:textFill>
                  <w14:solidFill>
                    <w14:schemeClr w14:val="tx1"/>
                  </w14:solidFill>
                </w14:textFill>
              </w:rPr>
              <w:t>全面详实，完全满足服务需求的得2分；</w:t>
            </w:r>
          </w:p>
          <w:p>
            <w:pPr>
              <w:widowControl/>
              <w:adjustRightInd w:val="0"/>
              <w:snapToGrid w:val="0"/>
              <w:spacing w:line="288" w:lineRule="auto"/>
              <w:ind w:firstLine="480" w:firstLineChars="200"/>
              <w:rPr>
                <w:rFonts w:ascii="仿宋_GB2312" w:eastAsia="仿宋_GB2312" w:cs="Arial"/>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lang w:bidi="ar"/>
                <w14:textFill>
                  <w14:solidFill>
                    <w14:schemeClr w14:val="tx1"/>
                  </w14:solidFill>
                </w14:textFill>
              </w:rPr>
              <w:t>6.整体方案不全面，与服务需求不相符不得分。</w:t>
            </w: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67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Calibri" w:hAnsi="Calibri"/>
                <w:color w:val="000000" w:themeColor="text1"/>
                <w:sz w:val="20"/>
                <w:szCs w:val="20"/>
                <w14:textFill>
                  <w14:solidFill>
                    <w14:schemeClr w14:val="tx1"/>
                  </w14:solidFill>
                </w14:textFill>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288" w:lineRule="auto"/>
              <w:jc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应急服务方案</w:t>
            </w:r>
          </w:p>
        </w:tc>
        <w:tc>
          <w:tcPr>
            <w:tcW w:w="322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firstLine="480" w:firstLineChars="200"/>
              <w:textAlignment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应急服务方案包含但不限于应急处理程序、应急工作小组架构及职责、系统应急预案启动、技术支持保障等内容</w:t>
            </w:r>
            <w:r>
              <w:rPr>
                <w:rFonts w:hint="eastAsia" w:ascii="仿宋_GB2312" w:hAnsi="Calibri" w:eastAsia="仿宋_GB2312" w:cs="仿宋_GB2312"/>
                <w:color w:val="000000" w:themeColor="text1"/>
                <w:sz w:val="24"/>
                <w:lang w:bidi="ar"/>
                <w14:textFill>
                  <w14:solidFill>
                    <w14:schemeClr w14:val="tx1"/>
                  </w14:solidFill>
                </w14:textFill>
              </w:rPr>
              <w:t>，</w:t>
            </w:r>
            <w:r>
              <w:rPr>
                <w:rFonts w:hint="eastAsia" w:ascii="仿宋_GB2312" w:hAnsi="Calibri" w:eastAsia="仿宋_GB2312" w:cs="仿宋_GB2312"/>
                <w:color w:val="000000" w:themeColor="text1"/>
                <w:kern w:val="0"/>
                <w:sz w:val="24"/>
                <w:lang w:bidi="ar"/>
                <w14:textFill>
                  <w14:solidFill>
                    <w14:schemeClr w14:val="tx1"/>
                  </w14:solidFill>
                </w14:textFill>
              </w:rPr>
              <w:t>进行综合评分</w:t>
            </w:r>
            <w:r>
              <w:rPr>
                <w:rFonts w:hint="eastAsia" w:ascii="仿宋_GB2312" w:hAnsi="仿宋_GB2312" w:eastAsia="仿宋_GB2312" w:cs="仿宋_GB2312"/>
                <w:color w:val="000000" w:themeColor="text1"/>
                <w:lang w:bidi="ar"/>
                <w14:textFill>
                  <w14:solidFill>
                    <w14:schemeClr w14:val="tx1"/>
                  </w14:solidFill>
                </w14:textFill>
              </w:rPr>
              <w:t>：</w:t>
            </w:r>
          </w:p>
          <w:p>
            <w:pPr>
              <w:snapToGrid w:val="0"/>
              <w:spacing w:line="288" w:lineRule="auto"/>
              <w:ind w:firstLine="480" w:firstLineChars="200"/>
              <w:textAlignment w:val="center"/>
              <w:rPr>
                <w:rFonts w:ascii="仿宋_GB2312" w:eastAsia="仿宋_GB2312" w:cs="仿宋_GB2312"/>
                <w:color w:val="000000" w:themeColor="text1"/>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1.具有明确的应急处理程序且内容清晰的得1分；</w:t>
            </w:r>
          </w:p>
          <w:p>
            <w:pPr>
              <w:snapToGrid w:val="0"/>
              <w:spacing w:line="288" w:lineRule="auto"/>
              <w:ind w:firstLine="480" w:firstLineChars="200"/>
              <w:textAlignment w:val="center"/>
              <w:rPr>
                <w:rFonts w:ascii="仿宋_GB2312" w:eastAsia="仿宋_GB2312" w:cs="仿宋_GB2312"/>
                <w:color w:val="000000" w:themeColor="text1"/>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2.具有明确的应急工作小组架构及职责</w:t>
            </w:r>
            <w:r>
              <w:rPr>
                <w:rFonts w:hint="eastAsia" w:ascii="仿宋_GB2312" w:hAnsi="Calibri" w:eastAsia="仿宋_GB2312" w:cs="仿宋_GB2312"/>
                <w:color w:val="000000" w:themeColor="text1"/>
                <w:sz w:val="24"/>
                <w:lang w:bidi="ar"/>
                <w14:textFill>
                  <w14:solidFill>
                    <w14:schemeClr w14:val="tx1"/>
                  </w14:solidFill>
                </w14:textFill>
              </w:rPr>
              <w:t>且内容合理</w:t>
            </w:r>
            <w:r>
              <w:rPr>
                <w:rFonts w:hint="eastAsia" w:ascii="仿宋_GB2312" w:hAnsi="Calibri" w:eastAsia="仿宋_GB2312" w:cs="仿宋_GB2312"/>
                <w:color w:val="000000" w:themeColor="text1"/>
                <w:kern w:val="0"/>
                <w:sz w:val="24"/>
                <w:lang w:bidi="ar"/>
                <w14:textFill>
                  <w14:solidFill>
                    <w14:schemeClr w14:val="tx1"/>
                  </w14:solidFill>
                </w14:textFill>
              </w:rPr>
              <w:t>的得1分；</w:t>
            </w:r>
          </w:p>
          <w:p>
            <w:pPr>
              <w:snapToGrid w:val="0"/>
              <w:spacing w:line="288" w:lineRule="auto"/>
              <w:ind w:firstLine="480" w:firstLineChars="200"/>
              <w:textAlignment w:val="center"/>
              <w:rPr>
                <w:rFonts w:ascii="仿宋_GB2312" w:eastAsia="仿宋_GB2312" w:cs="仿宋_GB2312"/>
                <w:color w:val="000000" w:themeColor="text1"/>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3.具有明确的系统应急预案启动</w:t>
            </w:r>
            <w:r>
              <w:rPr>
                <w:rFonts w:hint="eastAsia" w:ascii="仿宋_GB2312" w:hAnsi="Calibri" w:eastAsia="仿宋_GB2312" w:cs="仿宋_GB2312"/>
                <w:color w:val="000000" w:themeColor="text1"/>
                <w:sz w:val="24"/>
                <w:lang w:bidi="ar"/>
                <w14:textFill>
                  <w14:solidFill>
                    <w14:schemeClr w14:val="tx1"/>
                  </w14:solidFill>
                </w14:textFill>
              </w:rPr>
              <w:t>且合理可行</w:t>
            </w:r>
            <w:r>
              <w:rPr>
                <w:rFonts w:hint="eastAsia" w:ascii="仿宋_GB2312" w:hAnsi="Calibri" w:eastAsia="仿宋_GB2312" w:cs="仿宋_GB2312"/>
                <w:color w:val="000000" w:themeColor="text1"/>
                <w:kern w:val="0"/>
                <w:sz w:val="24"/>
                <w:lang w:bidi="ar"/>
                <w14:textFill>
                  <w14:solidFill>
                    <w14:schemeClr w14:val="tx1"/>
                  </w14:solidFill>
                </w14:textFill>
              </w:rPr>
              <w:t>的得1分；</w:t>
            </w:r>
          </w:p>
          <w:p>
            <w:pPr>
              <w:snapToGrid w:val="0"/>
              <w:spacing w:line="288" w:lineRule="auto"/>
              <w:ind w:firstLine="480" w:firstLineChars="200"/>
              <w:textAlignment w:val="center"/>
              <w:rPr>
                <w:rFonts w:ascii="仿宋_GB2312" w:eastAsia="仿宋_GB2312" w:cs="仿宋_GB2312"/>
                <w:color w:val="000000" w:themeColor="text1"/>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4.具有明确的技术支持保障且科学可行的得1分；</w:t>
            </w:r>
          </w:p>
          <w:p>
            <w:pPr>
              <w:snapToGrid w:val="0"/>
              <w:spacing w:line="288" w:lineRule="auto"/>
              <w:ind w:firstLine="480" w:firstLineChars="200"/>
              <w:textAlignment w:val="center"/>
              <w:rPr>
                <w:rFonts w:ascii="仿宋_GB2312" w:eastAsia="仿宋_GB2312" w:cs="仿宋_GB2312"/>
                <w:color w:val="000000" w:themeColor="text1"/>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5.应急服务</w:t>
            </w:r>
            <w:r>
              <w:rPr>
                <w:rFonts w:hint="eastAsia" w:ascii="仿宋_GB2312" w:hAnsi="Calibri" w:eastAsia="仿宋_GB2312" w:cs="仿宋_GB2312"/>
                <w:bCs/>
                <w:color w:val="000000" w:themeColor="text1"/>
                <w:kern w:val="0"/>
                <w:sz w:val="24"/>
                <w:lang w:bidi="ar"/>
                <w14:textFill>
                  <w14:solidFill>
                    <w14:schemeClr w14:val="tx1"/>
                  </w14:solidFill>
                </w14:textFill>
              </w:rPr>
              <w:t>方案全面详实，完全满足服务需求的得2分；</w:t>
            </w:r>
          </w:p>
          <w:p>
            <w:pPr>
              <w:snapToGrid w:val="0"/>
              <w:spacing w:line="288" w:lineRule="auto"/>
              <w:ind w:firstLine="480" w:firstLineChars="200"/>
              <w:rPr>
                <w:color w:val="000000" w:themeColor="text1"/>
                <w14:textFill>
                  <w14:solidFill>
                    <w14:schemeClr w14:val="tx1"/>
                  </w14:solidFill>
                </w14:textFill>
              </w:rPr>
            </w:pPr>
            <w:r>
              <w:rPr>
                <w:rFonts w:hint="eastAsia" w:ascii="仿宋_GB2312" w:hAnsi="宋体" w:eastAsia="仿宋_GB2312" w:cs="仿宋_GB2312"/>
                <w:color w:val="000000" w:themeColor="text1"/>
                <w:sz w:val="24"/>
                <w:lang w:bidi="ar"/>
                <w14:textFill>
                  <w14:solidFill>
                    <w14:schemeClr w14:val="tx1"/>
                  </w14:solidFill>
                </w14:textFill>
              </w:rPr>
              <w:t>6.整体方案不全面，与服务需求不相符不得分。</w:t>
            </w: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Calibri" w:hAnsi="Calibri"/>
                <w:color w:val="000000" w:themeColor="text1"/>
                <w:sz w:val="20"/>
                <w:szCs w:val="20"/>
                <w14:textFill>
                  <w14:solidFill>
                    <w14:schemeClr w14:val="tx1"/>
                  </w14:solidFill>
                </w14:textFill>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288" w:lineRule="auto"/>
              <w:jc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系统演示</w:t>
            </w:r>
          </w:p>
        </w:tc>
        <w:tc>
          <w:tcPr>
            <w:tcW w:w="322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firstLine="482"/>
              <w:jc w:val="left"/>
              <w:textAlignment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演示时间不得超过20分钟，演示电脑等设备投标人自行准备。投标人基于以往案例或真实演示系统进行下述功能演示：</w:t>
            </w:r>
          </w:p>
          <w:p>
            <w:pPr>
              <w:snapToGrid w:val="0"/>
              <w:spacing w:line="288" w:lineRule="auto"/>
              <w:ind w:firstLine="482"/>
              <w:jc w:val="left"/>
              <w:textAlignment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1.应用快速开发演示：演示应用管理、数据源管理、自定义表单管理、流程管理、数据管理等，提供数据库表设计功能，无需编写代码即可完成数据的增、删、改等操作等功能。</w:t>
            </w:r>
          </w:p>
          <w:p>
            <w:pPr>
              <w:snapToGrid w:val="0"/>
              <w:spacing w:line="288" w:lineRule="auto"/>
              <w:ind w:firstLine="482"/>
              <w:jc w:val="left"/>
              <w:textAlignment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具备上述全部功能演示，得3分；</w:t>
            </w:r>
          </w:p>
          <w:p>
            <w:pPr>
              <w:snapToGrid w:val="0"/>
              <w:spacing w:line="288" w:lineRule="auto"/>
              <w:ind w:firstLine="482"/>
              <w:jc w:val="left"/>
              <w:textAlignment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具备部分功能演示，得1分；</w:t>
            </w:r>
          </w:p>
          <w:p>
            <w:pPr>
              <w:snapToGrid w:val="0"/>
              <w:spacing w:line="288" w:lineRule="auto"/>
              <w:ind w:firstLine="482"/>
              <w:jc w:val="left"/>
              <w:textAlignment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无法提供相应演示不得分。</w:t>
            </w:r>
          </w:p>
          <w:p>
            <w:pPr>
              <w:snapToGrid w:val="0"/>
              <w:spacing w:line="288" w:lineRule="auto"/>
              <w:ind w:firstLine="482"/>
              <w:jc w:val="left"/>
              <w:textAlignment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2.数据多维度统计分析演示：演示从多维度进行统计分析，实现多维的数据选择，维度与计量实现拖拽方式，使用户实现快速生成统计报表；实现报表导出包括Excel文件、CSV文件、PDF文件、切换MDX语句、发布超链接、发布XML文件、发布报表，实现导出条形图、堆叠条形图、百分比条形图、多条形图、曲线图、面积图、网格图、点阵图、瀑布图和饼图型式等功能。</w:t>
            </w:r>
          </w:p>
          <w:p>
            <w:pPr>
              <w:snapToGrid w:val="0"/>
              <w:spacing w:line="288" w:lineRule="auto"/>
              <w:ind w:firstLine="482"/>
              <w:jc w:val="left"/>
              <w:textAlignment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具备上述全部功能演示，得3分；</w:t>
            </w:r>
          </w:p>
          <w:p>
            <w:pPr>
              <w:snapToGrid w:val="0"/>
              <w:spacing w:line="288" w:lineRule="auto"/>
              <w:ind w:firstLine="482"/>
              <w:jc w:val="left"/>
              <w:textAlignment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具备部分功能演示，得1分；</w:t>
            </w:r>
          </w:p>
          <w:p>
            <w:pPr>
              <w:snapToGrid w:val="0"/>
              <w:spacing w:line="288" w:lineRule="auto"/>
              <w:ind w:firstLine="482"/>
              <w:jc w:val="left"/>
              <w:textAlignment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无法提供相应演示不得分。</w:t>
            </w:r>
          </w:p>
          <w:p>
            <w:pPr>
              <w:snapToGrid w:val="0"/>
              <w:spacing w:line="288" w:lineRule="auto"/>
              <w:ind w:firstLine="482"/>
              <w:jc w:val="left"/>
              <w:textAlignment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3.工作流程自定义演示：演示具有灵活定义功能，可自定义业务流程、表单，根据不同运作模式，可由具有相应权限的人员对流程进行维护和订制等功能。</w:t>
            </w:r>
          </w:p>
          <w:p>
            <w:pPr>
              <w:snapToGrid w:val="0"/>
              <w:spacing w:line="288" w:lineRule="auto"/>
              <w:ind w:firstLine="482"/>
              <w:jc w:val="left"/>
              <w:textAlignment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具备上述全部功能演示，得3分；</w:t>
            </w:r>
          </w:p>
          <w:p>
            <w:pPr>
              <w:snapToGrid w:val="0"/>
              <w:spacing w:line="288" w:lineRule="auto"/>
              <w:ind w:firstLine="482"/>
              <w:jc w:val="left"/>
              <w:textAlignment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具备部分功能演示，得1分；</w:t>
            </w:r>
          </w:p>
          <w:p>
            <w:pPr>
              <w:snapToGrid w:val="0"/>
              <w:spacing w:line="288" w:lineRule="auto"/>
              <w:ind w:firstLine="482"/>
              <w:jc w:val="left"/>
              <w:textAlignment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无法提供相应演示不得分。</w:t>
            </w:r>
          </w:p>
          <w:p>
            <w:pPr>
              <w:snapToGrid w:val="0"/>
              <w:spacing w:line="288" w:lineRule="auto"/>
              <w:ind w:firstLine="482"/>
              <w:jc w:val="left"/>
              <w:textAlignment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4.信息发布管理演示：系统能够演示信息录入、审批、校正、发布、纠错等管理全过程操作，信息录入时提供标准录入和复杂录入；发布要求实现文章的编校审流程，并可对文章进行排序；提供文章评论和审核功能，对于审核通过的评论进行展示。</w:t>
            </w:r>
          </w:p>
          <w:p>
            <w:pPr>
              <w:snapToGrid w:val="0"/>
              <w:spacing w:line="288" w:lineRule="auto"/>
              <w:ind w:firstLine="482"/>
              <w:jc w:val="left"/>
              <w:textAlignment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具备上述全部功能演示，得3分；</w:t>
            </w:r>
          </w:p>
          <w:p>
            <w:pPr>
              <w:snapToGrid w:val="0"/>
              <w:spacing w:line="288" w:lineRule="auto"/>
              <w:ind w:firstLine="482"/>
              <w:jc w:val="left"/>
              <w:textAlignment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具备部分功能演示，得1分；</w:t>
            </w:r>
          </w:p>
          <w:p>
            <w:pPr>
              <w:snapToGrid w:val="0"/>
              <w:spacing w:line="288" w:lineRule="auto"/>
              <w:ind w:firstLine="482"/>
              <w:jc w:val="left"/>
              <w:textAlignment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无法提供相应演示不得分。</w:t>
            </w: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仿宋_GB2312" w:eastAsia="仿宋_GB2312" w:cs="仿宋_GB2312"/>
                <w:color w:val="000000" w:themeColor="text1"/>
                <w:kern w:val="0"/>
                <w:sz w:val="24"/>
                <w14:textFill>
                  <w14:solidFill>
                    <w14:schemeClr w14:val="tx1"/>
                  </w14:solidFill>
                </w14:textFill>
              </w:rPr>
            </w:pPr>
            <w:r>
              <w:rPr>
                <w:rFonts w:hint="eastAsia" w:ascii="仿宋_GB2312" w:hAnsi="Calibri" w:eastAsia="仿宋_GB2312" w:cs="仿宋_GB2312"/>
                <w:color w:val="000000" w:themeColor="text1"/>
                <w:kern w:val="0"/>
                <w:sz w:val="24"/>
                <w:lang w:bidi="ar"/>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bidi="ar"/>
                <w14:textFill>
                  <w14:solidFill>
                    <w14:schemeClr w14:val="tx1"/>
                  </w14:solidFill>
                </w14:textFill>
              </w:rPr>
              <w:t>商务部分（36分）</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项目经理</w:t>
            </w:r>
          </w:p>
        </w:tc>
        <w:tc>
          <w:tcPr>
            <w:tcW w:w="322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firstLine="480" w:firstLineChars="200"/>
              <w:rPr>
                <w:rFonts w:ascii="仿宋_GB2312" w:hAnsi="仿宋" w:eastAsia="仿宋_GB2312" w:cs="仿宋_GB2312"/>
                <w:color w:val="auto"/>
                <w:sz w:val="24"/>
              </w:rPr>
            </w:pPr>
            <w:r>
              <w:rPr>
                <w:rFonts w:hint="eastAsia" w:ascii="仿宋_GB2312" w:hAnsi="仿宋" w:eastAsia="仿宋_GB2312" w:cs="仿宋_GB2312"/>
                <w:color w:val="auto"/>
                <w:sz w:val="24"/>
                <w:lang w:bidi="ar"/>
              </w:rPr>
              <w:t>评审内容：项目经理；</w:t>
            </w:r>
          </w:p>
          <w:p>
            <w:pPr>
              <w:snapToGrid w:val="0"/>
              <w:spacing w:line="288" w:lineRule="auto"/>
              <w:ind w:left="2" w:leftChars="1" w:firstLine="480" w:firstLineChars="200"/>
              <w:jc w:val="left"/>
              <w:rPr>
                <w:rFonts w:ascii="仿宋_GB2312" w:hAnsi="仿宋_GB2312" w:eastAsia="仿宋_GB2312" w:cs="仿宋_GB2312"/>
                <w:color w:val="auto"/>
                <w:sz w:val="24"/>
                <w:lang w:bidi="ar"/>
              </w:rPr>
            </w:pPr>
            <w:r>
              <w:rPr>
                <w:rFonts w:hint="eastAsia" w:ascii="仿宋_GB2312" w:hAnsi="仿宋" w:eastAsia="仿宋_GB2312" w:cs="仿宋_GB2312"/>
                <w:color w:val="auto"/>
                <w:sz w:val="24"/>
                <w:lang w:bidi="ar"/>
              </w:rPr>
              <w:t>评审标准：</w:t>
            </w:r>
            <w:r>
              <w:rPr>
                <w:rFonts w:hint="eastAsia" w:ascii="仿宋_GB2312" w:hAnsi="仿宋_GB2312" w:eastAsia="仿宋_GB2312" w:cs="仿宋_GB2312"/>
                <w:color w:val="auto"/>
                <w:sz w:val="24"/>
                <w:lang w:bidi="ar"/>
              </w:rPr>
              <w:t>拟派项目经理具备信息系统项目管理师的得2分，信息安全工程师的得2分，系统架构设计师的得2分；满分为6分。</w:t>
            </w:r>
            <w:r>
              <w:rPr>
                <w:rFonts w:hint="eastAsia" w:ascii="仿宋_GB2312" w:hAnsi="仿宋_GB2312" w:eastAsia="仿宋_GB2312" w:cs="仿宋_GB2312"/>
                <w:color w:val="auto"/>
                <w:sz w:val="24"/>
                <w:lang w:bidi="ar"/>
              </w:rPr>
              <w:br w:type="textWrapping"/>
            </w:r>
            <w:r>
              <w:rPr>
                <w:rFonts w:hint="eastAsia" w:ascii="仿宋_GB2312" w:hAnsi="仿宋_GB2312" w:eastAsia="仿宋_GB2312" w:cs="仿宋_GB2312"/>
                <w:color w:val="auto"/>
                <w:sz w:val="24"/>
                <w:lang w:bidi="ar"/>
              </w:rPr>
              <w:t xml:space="preserve">    </w:t>
            </w:r>
            <w:r>
              <w:rPr>
                <w:rFonts w:hint="eastAsia" w:ascii="仿宋_GB2312" w:hAnsi="仿宋_GB2312" w:eastAsia="仿宋_GB2312" w:cs="仿宋_GB2312"/>
                <w:b/>
                <w:bCs/>
                <w:color w:val="auto"/>
                <w:kern w:val="0"/>
                <w:sz w:val="24"/>
                <w:lang w:bidi="ar"/>
              </w:rPr>
              <w:t>注：以上须提供身份证复印件、相关证书复印件、开标前6个月内任意一月投标人为拟派人员缴纳社保的证明材料复印件加盖投标人公章。</w:t>
            </w: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Calibri" w:hAnsi="Calibri"/>
                <w:color w:val="000000" w:themeColor="text1"/>
                <w:sz w:val="20"/>
                <w:szCs w:val="20"/>
                <w14:textFill>
                  <w14:solidFill>
                    <w14:schemeClr w14:val="tx1"/>
                  </w14:solidFill>
                </w14:textFill>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项目组成员</w:t>
            </w:r>
          </w:p>
        </w:tc>
        <w:tc>
          <w:tcPr>
            <w:tcW w:w="322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firstLine="480" w:firstLineChars="200"/>
              <w:rPr>
                <w:rFonts w:ascii="仿宋_GB2312" w:hAnsi="仿宋" w:eastAsia="仿宋_GB2312" w:cs="仿宋_GB2312"/>
                <w:color w:val="auto"/>
                <w:sz w:val="24"/>
              </w:rPr>
            </w:pPr>
            <w:r>
              <w:rPr>
                <w:rFonts w:hint="eastAsia" w:ascii="仿宋_GB2312" w:hAnsi="仿宋" w:eastAsia="仿宋_GB2312" w:cs="仿宋_GB2312"/>
                <w:color w:val="auto"/>
                <w:sz w:val="24"/>
                <w:lang w:bidi="ar"/>
              </w:rPr>
              <w:t>评审内容：项目组成员；</w:t>
            </w:r>
          </w:p>
          <w:p>
            <w:pPr>
              <w:snapToGrid w:val="0"/>
              <w:spacing w:line="288" w:lineRule="auto"/>
              <w:ind w:left="2" w:leftChars="1" w:firstLine="480" w:firstLineChars="200"/>
              <w:jc w:val="left"/>
              <w:rPr>
                <w:rFonts w:ascii="仿宋_GB2312" w:hAnsi="仿宋_GB2312" w:eastAsia="仿宋_GB2312" w:cs="仿宋_GB2312"/>
                <w:b/>
                <w:bCs/>
                <w:color w:val="auto"/>
                <w:kern w:val="0"/>
                <w:sz w:val="24"/>
                <w:lang w:bidi="ar"/>
              </w:rPr>
            </w:pPr>
            <w:r>
              <w:rPr>
                <w:rFonts w:hint="eastAsia" w:ascii="仿宋_GB2312" w:hAnsi="仿宋" w:eastAsia="仿宋_GB2312" w:cs="仿宋_GB2312"/>
                <w:color w:val="auto"/>
                <w:sz w:val="24"/>
                <w:lang w:bidi="ar"/>
              </w:rPr>
              <w:t>评审标准：</w:t>
            </w:r>
            <w:r>
              <w:rPr>
                <w:rFonts w:hint="eastAsia" w:ascii="仿宋_GB2312" w:hAnsi="仿宋_GB2312" w:eastAsia="仿宋_GB2312" w:cs="仿宋_GB2312"/>
                <w:color w:val="auto"/>
                <w:sz w:val="24"/>
                <w:lang w:bidi="ar"/>
              </w:rPr>
              <w:t>拟派项目组成员中，具有数据库系统工程师证书、注册信息安全专业人员证书（CISP）,每提供一项证书得2分，最高得4分。</w:t>
            </w:r>
            <w:r>
              <w:rPr>
                <w:rFonts w:hint="eastAsia" w:ascii="仿宋_GB2312" w:hAnsi="仿宋_GB2312" w:eastAsia="仿宋_GB2312" w:cs="仿宋_GB2312"/>
                <w:b/>
                <w:bCs/>
                <w:color w:val="auto"/>
                <w:sz w:val="24"/>
                <w:lang w:bidi="ar"/>
              </w:rPr>
              <w:br w:type="textWrapping"/>
            </w:r>
            <w:r>
              <w:rPr>
                <w:rFonts w:hint="eastAsia" w:ascii="仿宋_GB2312" w:hAnsi="仿宋_GB2312" w:eastAsia="仿宋_GB2312" w:cs="仿宋_GB2312"/>
                <w:b/>
                <w:bCs/>
                <w:color w:val="auto"/>
                <w:sz w:val="24"/>
                <w:lang w:bidi="ar"/>
              </w:rPr>
              <w:t xml:space="preserve">    </w:t>
            </w:r>
            <w:r>
              <w:rPr>
                <w:rFonts w:hint="eastAsia" w:ascii="仿宋_GB2312" w:hAnsi="仿宋_GB2312" w:eastAsia="仿宋_GB2312" w:cs="仿宋_GB2312"/>
                <w:b/>
                <w:bCs/>
                <w:color w:val="auto"/>
                <w:kern w:val="0"/>
                <w:sz w:val="24"/>
                <w:lang w:bidi="ar"/>
              </w:rPr>
              <w:t>注：（1）以上人员须提供身份证复印件、相关证书复印件、开标前6个月内任意一月投标人为拟派人员缴纳社保的证明材料复印件加盖投标人公章。</w:t>
            </w:r>
          </w:p>
          <w:p>
            <w:pPr>
              <w:snapToGrid w:val="0"/>
              <w:spacing w:line="288" w:lineRule="auto"/>
              <w:ind w:left="2" w:leftChars="1" w:firstLine="480" w:firstLineChars="200"/>
              <w:jc w:val="left"/>
              <w:rPr>
                <w:rFonts w:ascii="仿宋_GB2312" w:hAnsi="仿宋_GB2312" w:eastAsia="仿宋_GB2312" w:cs="仿宋_GB2312"/>
                <w:b/>
                <w:bCs/>
                <w:color w:val="auto"/>
                <w:sz w:val="24"/>
                <w:lang w:bidi="ar"/>
              </w:rPr>
            </w:pPr>
            <w:r>
              <w:rPr>
                <w:rFonts w:hint="eastAsia" w:ascii="仿宋_GB2312" w:hAnsi="仿宋_GB2312" w:eastAsia="仿宋_GB2312" w:cs="仿宋_GB2312"/>
                <w:b/>
                <w:bCs/>
                <w:color w:val="auto"/>
                <w:sz w:val="24"/>
                <w:lang w:bidi="ar"/>
              </w:rPr>
              <w:t>（2）项目组成员中同一人员具备多个证书的，仅计算一次。</w:t>
            </w: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Calibri" w:hAnsi="Calibri"/>
                <w:color w:val="000000" w:themeColor="text1"/>
                <w:sz w:val="20"/>
                <w:szCs w:val="20"/>
                <w14:textFill>
                  <w14:solidFill>
                    <w14:schemeClr w14:val="tx1"/>
                  </w14:solidFill>
                </w14:textFill>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软件著作权登记证书</w:t>
            </w:r>
          </w:p>
        </w:tc>
        <w:tc>
          <w:tcPr>
            <w:tcW w:w="3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88" w:lineRule="auto"/>
              <w:ind w:firstLine="480" w:firstLineChars="200"/>
              <w:jc w:val="left"/>
              <w:rPr>
                <w:rFonts w:ascii="仿宋_GB2312" w:hAnsi="仿宋" w:eastAsia="仿宋_GB2312" w:cs="仿宋_GB2312"/>
                <w:color w:val="auto"/>
                <w:sz w:val="24"/>
              </w:rPr>
            </w:pPr>
            <w:r>
              <w:rPr>
                <w:rFonts w:hint="eastAsia" w:ascii="仿宋_GB2312" w:hAnsi="仿宋" w:eastAsia="仿宋_GB2312" w:cs="仿宋_GB2312"/>
                <w:color w:val="auto"/>
                <w:sz w:val="24"/>
                <w:lang w:bidi="ar"/>
              </w:rPr>
              <w:t>评审内容：软件著作权登记证书；</w:t>
            </w:r>
          </w:p>
          <w:p>
            <w:pPr>
              <w:widowControl/>
              <w:snapToGrid w:val="0"/>
              <w:spacing w:line="288" w:lineRule="auto"/>
              <w:ind w:firstLine="480" w:firstLineChars="200"/>
              <w:jc w:val="left"/>
              <w:rPr>
                <w:rFonts w:ascii="仿宋_GB2312" w:hAnsi="仿宋" w:eastAsia="仿宋_GB2312" w:cs="仿宋_GB2312"/>
                <w:color w:val="auto"/>
                <w:sz w:val="24"/>
              </w:rPr>
            </w:pPr>
            <w:r>
              <w:rPr>
                <w:rFonts w:hint="eastAsia" w:ascii="仿宋_GB2312" w:hAnsi="仿宋" w:eastAsia="仿宋_GB2312" w:cs="仿宋_GB2312"/>
                <w:color w:val="auto"/>
                <w:sz w:val="24"/>
                <w:lang w:bidi="ar"/>
              </w:rPr>
              <w:t>评审标准：投标人具有相关软件著作权登记证书（包括但不限于智慧住建管理系统、一体化服务系统、内容管理系统、统一用户系统、数据交换平台、BI分析系统等关键字的系统软件著作权），每提供一类证书得1分，最高得5分。</w:t>
            </w:r>
          </w:p>
          <w:p>
            <w:pPr>
              <w:snapToGrid w:val="0"/>
              <w:spacing w:line="288" w:lineRule="auto"/>
              <w:ind w:left="2" w:leftChars="1" w:firstLine="480" w:firstLineChars="200"/>
              <w:jc w:val="left"/>
              <w:rPr>
                <w:rFonts w:ascii="仿宋_GB2312" w:hAnsi="仿宋" w:eastAsia="仿宋_GB2312" w:cs="仿宋_GB2312"/>
                <w:color w:val="auto"/>
                <w:sz w:val="24"/>
              </w:rPr>
            </w:pPr>
            <w:r>
              <w:rPr>
                <w:rFonts w:hint="eastAsia" w:ascii="仿宋_GB2312" w:hAnsi="仿宋" w:eastAsia="仿宋_GB2312" w:cs="仿宋_GB2312"/>
                <w:b/>
                <w:bCs/>
                <w:color w:val="auto"/>
                <w:sz w:val="24"/>
                <w:lang w:bidi="ar"/>
              </w:rPr>
              <w:t>注：</w:t>
            </w:r>
            <w:r>
              <w:rPr>
                <w:rFonts w:hint="eastAsia" w:ascii="仿宋_GB2312" w:hAnsi="仿宋_GB2312" w:eastAsia="仿宋_GB2312" w:cs="仿宋_GB2312"/>
                <w:b/>
                <w:bCs/>
                <w:color w:val="auto"/>
                <w:kern w:val="0"/>
                <w:sz w:val="24"/>
              </w:rPr>
              <w:t>以上须提供国家版权局颁发的软件著作权登记证书复印件加盖投标人公章。</w:t>
            </w: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7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Calibri" w:hAnsi="Calibri"/>
                <w:color w:val="000000" w:themeColor="text1"/>
                <w:sz w:val="20"/>
                <w:szCs w:val="20"/>
                <w14:textFill>
                  <w14:solidFill>
                    <w14:schemeClr w14:val="tx1"/>
                  </w14:solidFill>
                </w14:textFill>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履约能力</w:t>
            </w:r>
          </w:p>
        </w:tc>
        <w:tc>
          <w:tcPr>
            <w:tcW w:w="3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88" w:lineRule="auto"/>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lang w:bidi="ar"/>
                <w14:textFill>
                  <w14:solidFill>
                    <w14:schemeClr w14:val="tx1"/>
                  </w14:solidFill>
                </w14:textFill>
              </w:rPr>
              <w:t>评审内容：履约能力；</w:t>
            </w:r>
          </w:p>
          <w:p>
            <w:pPr>
              <w:widowControl/>
              <w:snapToGrid w:val="0"/>
              <w:spacing w:line="288" w:lineRule="auto"/>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lang w:bidi="ar"/>
                <w14:textFill>
                  <w14:solidFill>
                    <w14:schemeClr w14:val="tx1"/>
                  </w14:solidFill>
                </w14:textFill>
              </w:rPr>
              <w:t>评审标准：</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1.投标人具备信息系统服务交付能力等级证书（一级）得2分。</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2.投标人具备</w:t>
            </w:r>
            <w:r>
              <w:rPr>
                <w:rFonts w:hint="eastAsia" w:ascii="仿宋_GB2312" w:hAnsi="仿宋_GB2312" w:eastAsia="仿宋_GB2312" w:cs="仿宋_GB2312"/>
                <w:color w:val="000000" w:themeColor="text1"/>
                <w:sz w:val="24"/>
                <w:lang w:bidi="ar"/>
                <w14:textFill>
                  <w14:solidFill>
                    <w14:schemeClr w14:val="tx1"/>
                  </w14:solidFill>
                </w14:textFill>
              </w:rPr>
              <w:t>信息系统建设企业服务能力</w:t>
            </w:r>
            <w:r>
              <w:rPr>
                <w:rFonts w:hint="eastAsia" w:ascii="仿宋_GB2312" w:hAnsi="仿宋_GB2312" w:eastAsia="仿宋_GB2312" w:cs="仿宋_GB2312"/>
                <w:color w:val="000000" w:themeColor="text1"/>
                <w:kern w:val="0"/>
                <w:sz w:val="24"/>
                <w:lang w:bidi="ar"/>
                <w14:textFill>
                  <w14:solidFill>
                    <w14:schemeClr w14:val="tx1"/>
                  </w14:solidFill>
                </w14:textFill>
              </w:rPr>
              <w:t>甲级证书得2分。</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3.投标人软件能力成熟度在CMMI5级得3分，CMMI4级得2分，CMMI3级得1分。</w:t>
            </w:r>
          </w:p>
          <w:p>
            <w:pPr>
              <w:widowControl/>
              <w:snapToGrid w:val="0"/>
              <w:spacing w:line="288" w:lineRule="auto"/>
              <w:ind w:firstLine="480" w:firstLineChars="200"/>
              <w:jc w:val="left"/>
              <w:rPr>
                <w:rFonts w:ascii="仿宋_GB2312" w:hAnsi="仿宋_GB2312" w:eastAsia="仿宋_GB2312" w:cs="仿宋_GB2312"/>
                <w:color w:val="auto"/>
                <w:kern w:val="0"/>
                <w:sz w:val="24"/>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4.投标人具备ITSS信息技术服务运行维护标准符合性</w:t>
            </w:r>
            <w:r>
              <w:rPr>
                <w:rFonts w:hint="eastAsia" w:ascii="仿宋_GB2312" w:hAnsi="仿宋_GB2312" w:eastAsia="仿宋_GB2312" w:cs="仿宋_GB2312"/>
                <w:color w:val="auto"/>
                <w:kern w:val="0"/>
                <w:sz w:val="24"/>
                <w:lang w:bidi="ar"/>
              </w:rPr>
              <w:t>证书(一级)得2分。</w:t>
            </w:r>
          </w:p>
          <w:p>
            <w:pPr>
              <w:widowControl/>
              <w:snapToGrid w:val="0"/>
              <w:spacing w:line="288" w:lineRule="auto"/>
              <w:ind w:firstLine="480" w:firstLineChars="200"/>
              <w:jc w:val="left"/>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5.投标人具备信息系统安全运维服务一级</w:t>
            </w:r>
            <w:r>
              <w:rPr>
                <w:rFonts w:hint="eastAsia" w:ascii="仿宋_GB2312" w:hAnsi="仿宋_GB2312" w:eastAsia="仿宋_GB2312" w:cs="仿宋_GB2312"/>
                <w:color w:val="auto"/>
                <w:kern w:val="0"/>
                <w:sz w:val="24"/>
                <w:lang w:val="en-US" w:eastAsia="zh-CN" w:bidi="ar"/>
              </w:rPr>
              <w:t>证书</w:t>
            </w:r>
            <w:r>
              <w:rPr>
                <w:rFonts w:hint="eastAsia" w:ascii="仿宋_GB2312" w:hAnsi="仿宋_GB2312" w:eastAsia="仿宋_GB2312" w:cs="仿宋_GB2312"/>
                <w:color w:val="auto"/>
                <w:kern w:val="0"/>
                <w:sz w:val="24"/>
                <w:lang w:bidi="ar"/>
              </w:rPr>
              <w:t>得2分。</w:t>
            </w:r>
          </w:p>
          <w:p>
            <w:pPr>
              <w:widowControl/>
              <w:snapToGrid w:val="0"/>
              <w:spacing w:line="288" w:lineRule="auto"/>
              <w:ind w:firstLine="480" w:firstLineChars="200"/>
              <w:jc w:val="left"/>
              <w:rPr>
                <w:rFonts w:ascii="方正仿宋_GBK" w:hAnsi="方正仿宋_GBK" w:eastAsia="方正仿宋_GBK" w:cs="方正仿宋_GBK"/>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auto"/>
                <w:kern w:val="0"/>
                <w:sz w:val="24"/>
                <w:lang w:bidi="ar"/>
              </w:rPr>
              <w:t>注：以上须提供相关</w:t>
            </w:r>
            <w:r>
              <w:rPr>
                <w:rFonts w:hint="eastAsia" w:ascii="仿宋_GB2312" w:hAnsi="仿宋_GB2312" w:eastAsia="仿宋_GB2312" w:cs="仿宋_GB2312"/>
                <w:b/>
                <w:bCs/>
                <w:color w:val="000000" w:themeColor="text1"/>
                <w:kern w:val="0"/>
                <w:sz w:val="24"/>
                <w:lang w:bidi="ar"/>
                <w14:textFill>
                  <w14:solidFill>
                    <w14:schemeClr w14:val="tx1"/>
                  </w14:solidFill>
                </w14:textFill>
              </w:rPr>
              <w:t>证书复印件加盖投标人公章。</w:t>
            </w: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7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Calibri" w:hAnsi="Calibri"/>
                <w:color w:val="000000" w:themeColor="text1"/>
                <w:sz w:val="20"/>
                <w:szCs w:val="20"/>
                <w14:textFill>
                  <w14:solidFill>
                    <w14:schemeClr w14:val="tx1"/>
                  </w14:solidFill>
                </w14:textFill>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业绩</w:t>
            </w:r>
          </w:p>
        </w:tc>
        <w:tc>
          <w:tcPr>
            <w:tcW w:w="3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88" w:lineRule="auto"/>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lang w:bidi="ar"/>
                <w14:textFill>
                  <w14:solidFill>
                    <w14:schemeClr w14:val="tx1"/>
                  </w14:solidFill>
                </w14:textFill>
              </w:rPr>
              <w:t>评审内容：</w:t>
            </w:r>
            <w:r>
              <w:rPr>
                <w:rFonts w:hint="eastAsia" w:ascii="仿宋_GB2312" w:hAnsi="仿宋" w:eastAsia="仿宋_GB2312"/>
                <w:color w:val="000000" w:themeColor="text1"/>
                <w:sz w:val="24"/>
                <w:lang w:bidi="ar"/>
                <w14:textFill>
                  <w14:solidFill>
                    <w14:schemeClr w14:val="tx1"/>
                  </w14:solidFill>
                </w14:textFill>
              </w:rPr>
              <w:t>业绩；</w:t>
            </w:r>
          </w:p>
          <w:p>
            <w:pPr>
              <w:widowControl/>
              <w:snapToGrid w:val="0"/>
              <w:spacing w:line="288" w:lineRule="auto"/>
              <w:ind w:firstLine="480" w:firstLineChars="200"/>
              <w:jc w:val="left"/>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lang w:bidi="ar"/>
                <w14:textFill>
                  <w14:solidFill>
                    <w14:schemeClr w14:val="tx1"/>
                  </w14:solidFill>
                </w14:textFill>
              </w:rPr>
              <w:t>评审标准：投标人提供</w:t>
            </w:r>
            <w:r>
              <w:rPr>
                <w:rFonts w:hint="eastAsia" w:ascii="仿宋_GB2312" w:hAnsi="仿宋_GB2312" w:eastAsia="仿宋_GB2312" w:cs="仿宋_GB2312"/>
                <w:color w:val="000000" w:themeColor="text1"/>
                <w:kern w:val="0"/>
                <w:sz w:val="24"/>
                <w:lang w:bidi="ar"/>
                <w14:textFill>
                  <w14:solidFill>
                    <w14:schemeClr w14:val="tx1"/>
                  </w14:solidFill>
                </w14:textFill>
              </w:rPr>
              <w:t>2018</w:t>
            </w:r>
            <w:r>
              <w:rPr>
                <w:rFonts w:hint="eastAsia" w:ascii="仿宋_GB2312" w:hAnsi="仿宋" w:eastAsia="仿宋_GB2312" w:cs="仿宋_GB2312"/>
                <w:color w:val="000000" w:themeColor="text1"/>
                <w:sz w:val="24"/>
                <w:lang w:bidi="ar"/>
                <w14:textFill>
                  <w14:solidFill>
                    <w14:schemeClr w14:val="tx1"/>
                  </w14:solidFill>
                </w14:textFill>
              </w:rPr>
              <w:t>年1月1日至今类似项目业绩，每提供一份业绩得1分，满分为10分。</w:t>
            </w:r>
          </w:p>
          <w:p>
            <w:pPr>
              <w:widowControl/>
              <w:snapToGrid w:val="0"/>
              <w:spacing w:line="288" w:lineRule="auto"/>
              <w:ind w:firstLine="480" w:firstLineChars="200"/>
              <w:jc w:val="left"/>
              <w:rPr>
                <w:rFonts w:ascii="方正仿宋_GBK" w:hAnsi="方正仿宋_GBK" w:eastAsia="仿宋_GB2312" w:cs="方正仿宋_GBK"/>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注：以上须提供合同复印</w:t>
            </w:r>
            <w:r>
              <w:rPr>
                <w:rFonts w:hint="eastAsia" w:ascii="仿宋_GB2312" w:hAnsi="仿宋_GB2312" w:eastAsia="仿宋_GB2312" w:cs="仿宋_GB2312"/>
                <w:b/>
                <w:bCs/>
                <w:color w:val="000000" w:themeColor="text1"/>
                <w:kern w:val="0"/>
                <w:sz w:val="24"/>
                <w:highlight w:val="none"/>
                <w:lang w:bidi="ar"/>
                <w14:textFill>
                  <w14:solidFill>
                    <w14:schemeClr w14:val="tx1"/>
                  </w14:solidFill>
                </w14:textFill>
              </w:rPr>
              <w:t>件、中标</w:t>
            </w:r>
            <w:r>
              <w:rPr>
                <w:rFonts w:hint="eastAsia" w:ascii="仿宋_GB2312" w:hAnsi="仿宋_GB2312" w:eastAsia="仿宋_GB2312" w:cs="仿宋_GB2312"/>
                <w:b/>
                <w:bCs/>
                <w:color w:val="000000" w:themeColor="text1"/>
                <w:kern w:val="0"/>
                <w:sz w:val="24"/>
                <w:lang w:bidi="ar"/>
                <w14:textFill>
                  <w14:solidFill>
                    <w14:schemeClr w14:val="tx1"/>
                  </w14:solidFill>
                </w14:textFill>
              </w:rPr>
              <w:t>通知书复印件加盖投标人公章，</w:t>
            </w:r>
            <w:r>
              <w:rPr>
                <w:rFonts w:hint="eastAsia" w:ascii="仿宋_GB2312" w:eastAsia="仿宋_GB2312"/>
                <w:b/>
                <w:bCs/>
                <w:color w:val="000000" w:themeColor="text1"/>
                <w:sz w:val="24"/>
                <w14:textFill>
                  <w14:solidFill>
                    <w14:schemeClr w14:val="tx1"/>
                  </w14:solidFill>
                </w14:textFill>
              </w:rPr>
              <w:t>业绩时间以合同签订时间为准。</w:t>
            </w: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合  计</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w:t>
            </w:r>
          </w:p>
        </w:tc>
        <w:tc>
          <w:tcPr>
            <w:tcW w:w="322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w:t>
            </w: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before="0" w:beforeAutospacing="0" w:after="0" w:afterAutospacing="0" w:line="288"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100</w:t>
            </w:r>
          </w:p>
        </w:tc>
      </w:tr>
    </w:tbl>
    <w:p>
      <w:pPr>
        <w:pStyle w:val="3"/>
        <w:jc w:val="left"/>
        <w:rPr>
          <w:rFonts w:ascii="仿宋_GB2312" w:hAnsi="仿宋_GB2312" w:eastAsia="仿宋_GB2312" w:cs="仿宋_GB2312"/>
          <w:color w:val="000000" w:themeColor="text1"/>
          <w:sz w:val="24"/>
          <w14:textFill>
            <w14:solidFill>
              <w14:schemeClr w14:val="tx1"/>
            </w14:solidFill>
          </w14:textFill>
        </w:rPr>
      </w:pPr>
      <w:r>
        <w:rPr>
          <w:rFonts w:hint="eastAsia" w:ascii="方正小标宋简体" w:hAnsi="仿宋" w:eastAsia="方正小标宋简体" w:cs="仿宋_GB2312"/>
          <w:bCs/>
          <w:color w:val="000000" w:themeColor="text1"/>
          <w:sz w:val="32"/>
          <w:szCs w:val="32"/>
          <w14:textFill>
            <w14:solidFill>
              <w14:schemeClr w14:val="tx1"/>
            </w14:solidFill>
          </w14:textFill>
        </w:rPr>
        <w:br w:type="page"/>
      </w:r>
      <w:r>
        <w:rPr>
          <w:rFonts w:hint="eastAsia" w:ascii="仿宋_GB2312" w:hAnsi="仿宋_GB2312" w:eastAsia="仿宋_GB2312" w:cs="仿宋_GB2312"/>
          <w:color w:val="000000" w:themeColor="text1"/>
          <w:sz w:val="24"/>
          <w14:textFill>
            <w14:solidFill>
              <w14:schemeClr w14:val="tx1"/>
            </w14:solidFill>
          </w14:textFill>
        </w:rPr>
        <w:t>（二）辽宁省城市信息模型（CIM）基础平台建设评分标准</w:t>
      </w:r>
    </w:p>
    <w:tbl>
      <w:tblPr>
        <w:tblStyle w:val="20"/>
        <w:tblpPr w:leftFromText="180" w:rightFromText="180" w:vertAnchor="text" w:horzAnchor="margin" w:tblpX="-373" w:tblpY="10"/>
        <w:tblW w:w="56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1224"/>
        <w:gridCol w:w="6004"/>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4"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b/>
                <w:color w:val="000000" w:themeColor="text1"/>
                <w:kern w:val="2"/>
                <w14:textFill>
                  <w14:solidFill>
                    <w14:schemeClr w14:val="tx1"/>
                  </w14:solidFill>
                </w14:textFill>
              </w:rPr>
            </w:pPr>
            <w:r>
              <w:rPr>
                <w:rFonts w:hint="eastAsia" w:ascii="仿宋_GB2312" w:hAnsi="仿宋_GB2312" w:eastAsia="仿宋_GB2312" w:cs="仿宋_GB2312"/>
                <w:b/>
                <w:color w:val="000000" w:themeColor="text1"/>
                <w:kern w:val="2"/>
                <w14:textFill>
                  <w14:solidFill>
                    <w14:schemeClr w14:val="tx1"/>
                  </w14:solidFill>
                </w14:textFill>
              </w:rPr>
              <w:t>包号</w:t>
            </w:r>
          </w:p>
        </w:tc>
        <w:tc>
          <w:tcPr>
            <w:tcW w:w="4355" w:type="pct"/>
            <w:gridSpan w:val="3"/>
            <w:tcBorders>
              <w:top w:val="single" w:color="auto" w:sz="4" w:space="0"/>
              <w:left w:val="single" w:color="auto" w:sz="4" w:space="0"/>
              <w:bottom w:val="single" w:color="auto" w:sz="4" w:space="0"/>
              <w:right w:val="single" w:color="auto" w:sz="4" w:space="0"/>
            </w:tcBorders>
            <w:vAlign w:val="center"/>
          </w:tcPr>
          <w:p>
            <w:pPr>
              <w:pStyle w:val="16"/>
              <w:widowControl w:val="0"/>
              <w:snapToGrid w:val="0"/>
              <w:spacing w:before="0" w:beforeAutospacing="0" w:after="0" w:afterAutospacing="0" w:line="288" w:lineRule="auto"/>
              <w:jc w:val="center"/>
              <w:rPr>
                <w:rFonts w:ascii="仿宋_GB2312" w:hAnsi="仿宋_GB2312" w:eastAsia="仿宋_GB2312" w:cs="仿宋_GB2312"/>
                <w:b/>
                <w:color w:val="000000" w:themeColor="text1"/>
                <w:kern w:val="2"/>
                <w14:textFill>
                  <w14:solidFill>
                    <w14:schemeClr w14:val="tx1"/>
                  </w14:solidFill>
                </w14:textFill>
              </w:rPr>
            </w:pPr>
            <w:r>
              <w:rPr>
                <w:rFonts w:hint="eastAsia" w:ascii="仿宋_GB2312" w:hAnsi="仿宋_GB2312" w:eastAsia="仿宋_GB2312" w:cs="仿宋_GB2312"/>
                <w:b/>
                <w:color w:val="000000" w:themeColor="text1"/>
                <w:kern w:val="2"/>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44"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项目</w:t>
            </w:r>
          </w:p>
        </w:tc>
        <w:tc>
          <w:tcPr>
            <w:tcW w:w="668"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分项名称</w:t>
            </w:r>
          </w:p>
        </w:tc>
        <w:tc>
          <w:tcPr>
            <w:tcW w:w="3278"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评分标准</w:t>
            </w:r>
          </w:p>
        </w:tc>
        <w:tc>
          <w:tcPr>
            <w:tcW w:w="407"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44"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价格部分（10分）</w:t>
            </w:r>
          </w:p>
        </w:tc>
        <w:tc>
          <w:tcPr>
            <w:tcW w:w="668"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投标报价</w:t>
            </w:r>
          </w:p>
        </w:tc>
        <w:tc>
          <w:tcPr>
            <w:tcW w:w="3278" w:type="pct"/>
            <w:tcBorders>
              <w:top w:val="single" w:color="auto" w:sz="4" w:space="0"/>
              <w:left w:val="single" w:color="auto" w:sz="4" w:space="0"/>
              <w:bottom w:val="single" w:color="auto" w:sz="4" w:space="0"/>
              <w:right w:val="single" w:color="auto" w:sz="4" w:space="0"/>
            </w:tcBorders>
            <w:vAlign w:val="center"/>
          </w:tcPr>
          <w:p>
            <w:pPr>
              <w:spacing w:line="288" w:lineRule="auto"/>
              <w:ind w:firstLine="480" w:firstLineChars="20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评审内容：投标报价；</w:t>
            </w:r>
          </w:p>
          <w:p>
            <w:pPr>
              <w:adjustRightInd w:val="0"/>
              <w:snapToGrid w:val="0"/>
              <w:spacing w:line="288" w:lineRule="auto"/>
              <w:ind w:firstLine="480" w:firstLineChars="200"/>
              <w:jc w:val="left"/>
              <w:textAlignment w:val="cente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评审标准：</w:t>
            </w:r>
          </w:p>
          <w:p>
            <w:pPr>
              <w:adjustRightInd w:val="0"/>
              <w:snapToGrid w:val="0"/>
              <w:spacing w:line="288" w:lineRule="auto"/>
              <w:ind w:firstLine="480" w:firstLineChars="200"/>
              <w:jc w:val="left"/>
              <w:textAlignment w:val="cente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1.评标基准价：系指满足招标文件要求且投标价格最低的投标报价。</w:t>
            </w:r>
          </w:p>
          <w:p>
            <w:pPr>
              <w:adjustRightInd w:val="0"/>
              <w:snapToGrid w:val="0"/>
              <w:spacing w:line="288" w:lineRule="auto"/>
              <w:ind w:firstLine="480" w:firstLineChars="200"/>
              <w:jc w:val="left"/>
              <w:textAlignment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2.投标报价得分＝（评标基准价／投标报价）×10，得分保留至小数点后两位。</w:t>
            </w:r>
          </w:p>
        </w:tc>
        <w:tc>
          <w:tcPr>
            <w:tcW w:w="407"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仿宋_GB2312" w:eastAsia="仿宋_GB2312"/>
                <w:color w:val="000000" w:themeColor="text1"/>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44" w:type="pct"/>
            <w:vMerge w:val="restart"/>
            <w:tcBorders>
              <w:top w:val="single" w:color="auto" w:sz="4" w:space="0"/>
              <w:left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技术部分（48分）</w:t>
            </w:r>
          </w:p>
        </w:tc>
        <w:tc>
          <w:tcPr>
            <w:tcW w:w="668" w:type="pct"/>
            <w:tcBorders>
              <w:top w:val="single" w:color="auto" w:sz="4" w:space="0"/>
              <w:left w:val="single" w:color="auto" w:sz="4" w:space="0"/>
              <w:bottom w:val="single" w:color="auto" w:sz="4" w:space="0"/>
              <w:right w:val="single" w:color="auto" w:sz="4" w:space="0"/>
            </w:tcBorders>
            <w:vAlign w:val="center"/>
          </w:tcPr>
          <w:p>
            <w:pPr>
              <w:pStyle w:val="45"/>
              <w:snapToGrid w:val="0"/>
              <w:spacing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项目整体理解</w:t>
            </w:r>
          </w:p>
        </w:tc>
        <w:tc>
          <w:tcPr>
            <w:tcW w:w="3278" w:type="pct"/>
            <w:tcBorders>
              <w:top w:val="single" w:color="auto" w:sz="4" w:space="0"/>
              <w:left w:val="single" w:color="auto" w:sz="4" w:space="0"/>
              <w:bottom w:val="single" w:color="auto" w:sz="4" w:space="0"/>
              <w:right w:val="single" w:color="auto" w:sz="4" w:space="0"/>
            </w:tcBorders>
            <w:vAlign w:val="center"/>
          </w:tcPr>
          <w:p>
            <w:pPr>
              <w:pStyle w:val="45"/>
              <w:snapToGrid w:val="0"/>
              <w:spacing w:line="288" w:lineRule="auto"/>
              <w:ind w:firstLine="480" w:firstLineChars="200"/>
              <w:rPr>
                <w:rFonts w:ascii="仿宋_GB2312" w:eastAsia="仿宋_GB2312" w:hAnsiTheme="minorHAnsi" w:cstheme="minorBidi"/>
                <w:b/>
                <w:bCs/>
                <w:color w:val="000000" w:themeColor="text1"/>
                <w14:textFill>
                  <w14:solidFill>
                    <w14:schemeClr w14:val="tx1"/>
                  </w14:solidFill>
                </w14:textFill>
              </w:rPr>
            </w:pPr>
            <w:r>
              <w:rPr>
                <w:rFonts w:hint="eastAsia" w:ascii="仿宋_GB2312" w:eastAsia="仿宋_GB2312" w:hAnsiTheme="minorHAnsi" w:cstheme="minorBidi"/>
                <w:color w:val="000000" w:themeColor="text1"/>
                <w14:textFill>
                  <w14:solidFill>
                    <w14:schemeClr w14:val="tx1"/>
                  </w14:solidFill>
                </w14:textFill>
              </w:rPr>
              <w:t>根据投标人提供针对辽宁省城市信息模型（CIM）基础平台采购需求中建设范围及业务理解，项目的完整程度及表述清晰程度进行评审：</w:t>
            </w:r>
            <w:r>
              <w:rPr>
                <w:rFonts w:hint="eastAsia" w:ascii="仿宋_GB2312" w:eastAsia="仿宋_GB2312" w:hAnsiTheme="minorHAnsi" w:cstheme="minorBidi"/>
                <w:color w:val="000000" w:themeColor="text1"/>
                <w14:textFill>
                  <w14:solidFill>
                    <w14:schemeClr w14:val="tx1"/>
                  </w14:solidFill>
                </w14:textFill>
              </w:rPr>
              <w:br w:type="textWrapping"/>
            </w:r>
            <w:r>
              <w:rPr>
                <w:rFonts w:hint="eastAsia" w:ascii="仿宋_GB2312" w:eastAsia="仿宋_GB2312" w:cstheme="minorBidi"/>
                <w:color w:val="000000" w:themeColor="text1"/>
                <w14:textFill>
                  <w14:solidFill>
                    <w14:schemeClr w14:val="tx1"/>
                  </w14:solidFill>
                </w14:textFill>
              </w:rPr>
              <w:t xml:space="preserve">    </w:t>
            </w:r>
            <w:r>
              <w:rPr>
                <w:rFonts w:hint="eastAsia" w:ascii="仿宋_GB2312" w:eastAsia="仿宋_GB2312" w:hAnsiTheme="minorHAnsi" w:cstheme="minorBidi"/>
                <w:color w:val="000000" w:themeColor="text1"/>
                <w14:textFill>
                  <w14:solidFill>
                    <w14:schemeClr w14:val="tx1"/>
                  </w14:solidFill>
                </w14:textFill>
              </w:rPr>
              <w:t>1.投标人深入理解建设范围和情况，对项目理解全面科学，建设思路合理可行，建设目标清晰完整，分析科学深入，</w:t>
            </w:r>
            <w:r>
              <w:rPr>
                <w:rFonts w:hint="eastAsia" w:ascii="仿宋_GB2312" w:eastAsia="仿宋_GB2312"/>
                <w:color w:val="000000" w:themeColor="text1"/>
                <w14:textFill>
                  <w14:solidFill>
                    <w14:schemeClr w14:val="tx1"/>
                  </w14:solidFill>
                </w14:textFill>
              </w:rPr>
              <w:t>得6分</w:t>
            </w:r>
            <w:r>
              <w:rPr>
                <w:rFonts w:hint="eastAsia" w:ascii="仿宋_GB2312" w:eastAsia="仿宋_GB2312" w:hAnsiTheme="minorHAnsi" w:cstheme="minorBidi"/>
                <w:color w:val="000000" w:themeColor="text1"/>
                <w14:textFill>
                  <w14:solidFill>
                    <w14:schemeClr w14:val="tx1"/>
                  </w14:solidFill>
                </w14:textFill>
              </w:rPr>
              <w:t>；</w:t>
            </w:r>
            <w:r>
              <w:rPr>
                <w:rFonts w:hint="eastAsia" w:ascii="仿宋_GB2312" w:eastAsia="仿宋_GB2312" w:hAnsiTheme="minorHAnsi" w:cstheme="minorBidi"/>
                <w:color w:val="000000" w:themeColor="text1"/>
                <w14:textFill>
                  <w14:solidFill>
                    <w14:schemeClr w14:val="tx1"/>
                  </w14:solidFill>
                </w14:textFill>
              </w:rPr>
              <w:br w:type="textWrapping"/>
            </w:r>
            <w:r>
              <w:rPr>
                <w:rFonts w:hint="eastAsia" w:ascii="仿宋_GB2312" w:eastAsia="仿宋_GB2312" w:cstheme="minorBidi"/>
                <w:color w:val="000000" w:themeColor="text1"/>
                <w14:textFill>
                  <w14:solidFill>
                    <w14:schemeClr w14:val="tx1"/>
                  </w14:solidFill>
                </w14:textFill>
              </w:rPr>
              <w:t xml:space="preserve">    </w:t>
            </w:r>
            <w:r>
              <w:rPr>
                <w:rFonts w:hint="eastAsia" w:ascii="仿宋_GB2312" w:eastAsia="仿宋_GB2312" w:hAnsiTheme="minorHAnsi" w:cstheme="minorBidi"/>
                <w:color w:val="000000" w:themeColor="text1"/>
                <w14:textFill>
                  <w14:solidFill>
                    <w14:schemeClr w14:val="tx1"/>
                  </w14:solidFill>
                </w14:textFill>
              </w:rPr>
              <w:t>2.投标人较熟悉建设范围和情况，对项目理解较全面，建设思路较合理，建设目标较清晰，分析较深入，</w:t>
            </w:r>
            <w:r>
              <w:rPr>
                <w:rFonts w:hint="eastAsia" w:ascii="仿宋_GB2312" w:eastAsia="仿宋_GB2312"/>
                <w:color w:val="000000" w:themeColor="text1"/>
                <w14:textFill>
                  <w14:solidFill>
                    <w14:schemeClr w14:val="tx1"/>
                  </w14:solidFill>
                </w14:textFill>
              </w:rPr>
              <w:t>得4分</w:t>
            </w:r>
            <w:r>
              <w:rPr>
                <w:rFonts w:hint="eastAsia" w:ascii="仿宋_GB2312" w:eastAsia="仿宋_GB2312" w:hAnsiTheme="minorHAnsi" w:cstheme="minorBidi"/>
                <w:color w:val="000000" w:themeColor="text1"/>
                <w14:textFill>
                  <w14:solidFill>
                    <w14:schemeClr w14:val="tx1"/>
                  </w14:solidFill>
                </w14:textFill>
              </w:rPr>
              <w:t>；</w:t>
            </w:r>
            <w:r>
              <w:rPr>
                <w:rFonts w:hint="eastAsia" w:ascii="仿宋_GB2312" w:eastAsia="仿宋_GB2312" w:hAnsiTheme="minorHAnsi" w:cstheme="minorBidi"/>
                <w:color w:val="000000" w:themeColor="text1"/>
                <w14:textFill>
                  <w14:solidFill>
                    <w14:schemeClr w14:val="tx1"/>
                  </w14:solidFill>
                </w14:textFill>
              </w:rPr>
              <w:br w:type="textWrapping"/>
            </w:r>
            <w:r>
              <w:rPr>
                <w:rFonts w:hint="eastAsia" w:ascii="仿宋_GB2312" w:eastAsia="仿宋_GB2312" w:cstheme="minorBidi"/>
                <w:color w:val="000000" w:themeColor="text1"/>
                <w14:textFill>
                  <w14:solidFill>
                    <w14:schemeClr w14:val="tx1"/>
                  </w14:solidFill>
                </w14:textFill>
              </w:rPr>
              <w:t xml:space="preserve">    </w:t>
            </w:r>
            <w:r>
              <w:rPr>
                <w:rFonts w:hint="eastAsia" w:ascii="仿宋_GB2312" w:eastAsia="仿宋_GB2312" w:hAnsiTheme="minorHAnsi" w:cstheme="minorBidi"/>
                <w:color w:val="000000" w:themeColor="text1"/>
                <w14:textFill>
                  <w14:solidFill>
                    <w14:schemeClr w14:val="tx1"/>
                  </w14:solidFill>
                </w14:textFill>
              </w:rPr>
              <w:t>3.投标人基本了解建设范围和情况，但对项目理解、建设思路、建设目标分析不够科学深入，</w:t>
            </w:r>
            <w:r>
              <w:rPr>
                <w:rFonts w:hint="eastAsia" w:ascii="仿宋_GB2312" w:eastAsia="仿宋_GB2312"/>
                <w:color w:val="000000" w:themeColor="text1"/>
                <w14:textFill>
                  <w14:solidFill>
                    <w14:schemeClr w14:val="tx1"/>
                  </w14:solidFill>
                </w14:textFill>
              </w:rPr>
              <w:t>得2分</w:t>
            </w:r>
            <w:r>
              <w:rPr>
                <w:rFonts w:hint="eastAsia" w:ascii="仿宋_GB2312" w:eastAsia="仿宋_GB2312" w:hAnsiTheme="minorHAnsi" w:cstheme="minorBidi"/>
                <w:color w:val="000000" w:themeColor="text1"/>
                <w14:textFill>
                  <w14:solidFill>
                    <w14:schemeClr w14:val="tx1"/>
                  </w14:solidFill>
                </w14:textFill>
              </w:rPr>
              <w:t>；</w:t>
            </w:r>
            <w:r>
              <w:rPr>
                <w:rFonts w:hint="eastAsia" w:ascii="仿宋_GB2312" w:eastAsia="仿宋_GB2312" w:hAnsiTheme="minorHAnsi" w:cstheme="minorBidi"/>
                <w:color w:val="000000" w:themeColor="text1"/>
                <w14:textFill>
                  <w14:solidFill>
                    <w14:schemeClr w14:val="tx1"/>
                  </w14:solidFill>
                </w14:textFill>
              </w:rPr>
              <w:br w:type="textWrapping"/>
            </w:r>
            <w:r>
              <w:rPr>
                <w:rFonts w:hint="eastAsia" w:ascii="仿宋_GB2312" w:eastAsia="仿宋_GB2312" w:cstheme="minorBidi"/>
                <w:color w:val="000000" w:themeColor="text1"/>
                <w14:textFill>
                  <w14:solidFill>
                    <w14:schemeClr w14:val="tx1"/>
                  </w14:solidFill>
                </w14:textFill>
              </w:rPr>
              <w:t xml:space="preserve">    </w:t>
            </w:r>
            <w:r>
              <w:rPr>
                <w:rFonts w:hint="eastAsia" w:ascii="仿宋_GB2312" w:eastAsia="仿宋_GB2312" w:hAnsiTheme="minorHAnsi" w:cstheme="minorBidi"/>
                <w:color w:val="000000" w:themeColor="text1"/>
                <w14:textFill>
                  <w14:solidFill>
                    <w14:schemeClr w14:val="tx1"/>
                  </w14:solidFill>
                </w14:textFill>
              </w:rPr>
              <w:t>4.未提供项目整体理解或提供内容与本项目不符的，不得分。</w:t>
            </w:r>
          </w:p>
        </w:tc>
        <w:tc>
          <w:tcPr>
            <w:tcW w:w="4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44" w:type="pct"/>
            <w:vMerge w:val="continue"/>
            <w:tcBorders>
              <w:left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p>
        </w:tc>
        <w:tc>
          <w:tcPr>
            <w:tcW w:w="668" w:type="pct"/>
            <w:tcBorders>
              <w:top w:val="single" w:color="auto" w:sz="4" w:space="0"/>
              <w:left w:val="single" w:color="auto" w:sz="4" w:space="0"/>
              <w:bottom w:val="single" w:color="auto" w:sz="4" w:space="0"/>
              <w:right w:val="single" w:color="auto" w:sz="4" w:space="0"/>
            </w:tcBorders>
            <w:vAlign w:val="center"/>
          </w:tcPr>
          <w:p>
            <w:pPr>
              <w:pStyle w:val="45"/>
              <w:snapToGrid w:val="0"/>
              <w:spacing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项目总体方案</w:t>
            </w:r>
          </w:p>
        </w:tc>
        <w:tc>
          <w:tcPr>
            <w:tcW w:w="3278" w:type="pct"/>
            <w:tcBorders>
              <w:top w:val="single" w:color="auto" w:sz="4" w:space="0"/>
              <w:left w:val="single" w:color="auto" w:sz="4" w:space="0"/>
              <w:bottom w:val="single" w:color="auto" w:sz="4" w:space="0"/>
              <w:right w:val="single" w:color="auto" w:sz="4" w:space="0"/>
            </w:tcBorders>
            <w:vAlign w:val="center"/>
          </w:tcPr>
          <w:p>
            <w:pPr>
              <w:pStyle w:val="45"/>
              <w:snapToGrid w:val="0"/>
              <w:spacing w:line="288" w:lineRule="auto"/>
              <w:ind w:firstLine="480" w:firstLineChars="200"/>
              <w:rPr>
                <w:rFonts w:ascii="仿宋_GB2312" w:eastAsia="仿宋_GB2312" w:hAnsiTheme="minorHAnsi" w:cstheme="minorBidi"/>
                <w:b/>
                <w:bCs/>
                <w:color w:val="000000" w:themeColor="text1"/>
                <w14:textFill>
                  <w14:solidFill>
                    <w14:schemeClr w14:val="tx1"/>
                  </w14:solidFill>
                </w14:textFill>
              </w:rPr>
            </w:pPr>
            <w:r>
              <w:rPr>
                <w:rFonts w:hint="eastAsia" w:ascii="仿宋_GB2312" w:eastAsia="仿宋_GB2312" w:hAnsiTheme="minorHAnsi" w:cstheme="minorBidi"/>
                <w:color w:val="000000" w:themeColor="text1"/>
                <w14:textFill>
                  <w14:solidFill>
                    <w14:schemeClr w14:val="tx1"/>
                  </w14:solidFill>
                </w14:textFill>
              </w:rPr>
              <w:t>根据投标人提供的辽宁省城市信息模型（CIM）基础平台总体架构、应用架构、建设路径、业务协同、关键技术等内容，对项目总体方案进行评审:</w:t>
            </w:r>
            <w:r>
              <w:rPr>
                <w:rFonts w:hint="eastAsia" w:ascii="仿宋_GB2312" w:eastAsia="仿宋_GB2312" w:hAnsiTheme="minorHAnsi" w:cstheme="minorBidi"/>
                <w:color w:val="000000" w:themeColor="text1"/>
                <w14:textFill>
                  <w14:solidFill>
                    <w14:schemeClr w14:val="tx1"/>
                  </w14:solidFill>
                </w14:textFill>
              </w:rPr>
              <w:br w:type="textWrapping"/>
            </w:r>
            <w:r>
              <w:rPr>
                <w:rFonts w:hint="eastAsia" w:ascii="仿宋_GB2312" w:eastAsia="仿宋_GB2312" w:cstheme="minorBidi"/>
                <w:color w:val="000000" w:themeColor="text1"/>
                <w14:textFill>
                  <w14:solidFill>
                    <w14:schemeClr w14:val="tx1"/>
                  </w14:solidFill>
                </w14:textFill>
              </w:rPr>
              <w:t xml:space="preserve">    </w:t>
            </w:r>
            <w:r>
              <w:rPr>
                <w:rFonts w:hint="eastAsia" w:ascii="仿宋_GB2312" w:eastAsia="仿宋_GB2312" w:hAnsiTheme="minorHAnsi" w:cstheme="minorBidi"/>
                <w:color w:val="000000" w:themeColor="text1"/>
                <w14:textFill>
                  <w14:solidFill>
                    <w14:schemeClr w14:val="tx1"/>
                  </w14:solidFill>
                </w14:textFill>
              </w:rPr>
              <w:t>1.总体方案完整性、总体架构合理性、应用架构全面性、建设路径阶段性、业务协同模式性、关键技术可行性、先进性、可扩展性及方案的成熟度高且详细突出，</w:t>
            </w:r>
            <w:r>
              <w:rPr>
                <w:rFonts w:hint="eastAsia" w:ascii="仿宋_GB2312" w:eastAsia="仿宋_GB2312"/>
                <w:color w:val="000000" w:themeColor="text1"/>
                <w14:textFill>
                  <w14:solidFill>
                    <w14:schemeClr w14:val="tx1"/>
                  </w14:solidFill>
                </w14:textFill>
              </w:rPr>
              <w:t>得6分</w:t>
            </w:r>
            <w:r>
              <w:rPr>
                <w:rFonts w:hint="eastAsia" w:ascii="仿宋_GB2312" w:eastAsia="仿宋_GB2312" w:hAnsiTheme="minorHAnsi" w:cstheme="minorBidi"/>
                <w:color w:val="000000" w:themeColor="text1"/>
                <w14:textFill>
                  <w14:solidFill>
                    <w14:schemeClr w14:val="tx1"/>
                  </w14:solidFill>
                </w14:textFill>
              </w:rPr>
              <w:t>；</w:t>
            </w:r>
            <w:r>
              <w:rPr>
                <w:rFonts w:hint="eastAsia" w:ascii="仿宋_GB2312" w:eastAsia="仿宋_GB2312" w:hAnsiTheme="minorHAnsi" w:cstheme="minorBidi"/>
                <w:color w:val="000000" w:themeColor="text1"/>
                <w14:textFill>
                  <w14:solidFill>
                    <w14:schemeClr w14:val="tx1"/>
                  </w14:solidFill>
                </w14:textFill>
              </w:rPr>
              <w:br w:type="textWrapping"/>
            </w:r>
            <w:r>
              <w:rPr>
                <w:rFonts w:hint="eastAsia" w:ascii="仿宋_GB2312" w:eastAsia="仿宋_GB2312" w:cstheme="minorBidi"/>
                <w:color w:val="000000" w:themeColor="text1"/>
                <w14:textFill>
                  <w14:solidFill>
                    <w14:schemeClr w14:val="tx1"/>
                  </w14:solidFill>
                </w14:textFill>
              </w:rPr>
              <w:t xml:space="preserve">    </w:t>
            </w:r>
            <w:r>
              <w:rPr>
                <w:rFonts w:hint="eastAsia" w:ascii="仿宋_GB2312" w:eastAsia="仿宋_GB2312" w:hAnsiTheme="minorHAnsi" w:cstheme="minorBidi"/>
                <w:color w:val="000000" w:themeColor="text1"/>
                <w14:textFill>
                  <w14:solidFill>
                    <w14:schemeClr w14:val="tx1"/>
                  </w14:solidFill>
                </w14:textFill>
              </w:rPr>
              <w:t>2.总体方案完整性、总体架构合理性、应用架构全面性、建设路径阶段性、业务协同模式性、关键技术可行性、先进性、可扩展性及方案的成熟度较高且较详细，</w:t>
            </w:r>
            <w:r>
              <w:rPr>
                <w:rFonts w:hint="eastAsia" w:ascii="仿宋_GB2312" w:eastAsia="仿宋_GB2312"/>
                <w:color w:val="000000" w:themeColor="text1"/>
                <w14:textFill>
                  <w14:solidFill>
                    <w14:schemeClr w14:val="tx1"/>
                  </w14:solidFill>
                </w14:textFill>
              </w:rPr>
              <w:t>得4分</w:t>
            </w:r>
            <w:r>
              <w:rPr>
                <w:rFonts w:hint="eastAsia" w:ascii="仿宋_GB2312" w:eastAsia="仿宋_GB2312" w:hAnsiTheme="minorHAnsi" w:cstheme="minorBidi"/>
                <w:color w:val="000000" w:themeColor="text1"/>
                <w14:textFill>
                  <w14:solidFill>
                    <w14:schemeClr w14:val="tx1"/>
                  </w14:solidFill>
                </w14:textFill>
              </w:rPr>
              <w:t>；</w:t>
            </w:r>
            <w:r>
              <w:rPr>
                <w:rFonts w:hint="eastAsia" w:ascii="仿宋_GB2312" w:eastAsia="仿宋_GB2312" w:hAnsiTheme="minorHAnsi" w:cstheme="minorBidi"/>
                <w:color w:val="000000" w:themeColor="text1"/>
                <w14:textFill>
                  <w14:solidFill>
                    <w14:schemeClr w14:val="tx1"/>
                  </w14:solidFill>
                </w14:textFill>
              </w:rPr>
              <w:br w:type="textWrapping"/>
            </w:r>
            <w:r>
              <w:rPr>
                <w:rFonts w:hint="eastAsia" w:ascii="仿宋_GB2312" w:eastAsia="仿宋_GB2312" w:cstheme="minorBidi"/>
                <w:color w:val="000000" w:themeColor="text1"/>
                <w14:textFill>
                  <w14:solidFill>
                    <w14:schemeClr w14:val="tx1"/>
                  </w14:solidFill>
                </w14:textFill>
              </w:rPr>
              <w:t xml:space="preserve">    </w:t>
            </w:r>
            <w:r>
              <w:rPr>
                <w:rFonts w:hint="eastAsia" w:ascii="仿宋_GB2312" w:eastAsia="仿宋_GB2312" w:hAnsiTheme="minorHAnsi" w:cstheme="minorBidi"/>
                <w:color w:val="000000" w:themeColor="text1"/>
                <w14:textFill>
                  <w14:solidFill>
                    <w14:schemeClr w14:val="tx1"/>
                  </w14:solidFill>
                </w14:textFill>
              </w:rPr>
              <w:t>3.总体方案完整性、总体架构合理性、应用架构全面性、建设路径阶段性、业务协同模式性、关键技术可行性、先进性、可扩展性及方案具有一定成熟度但不详细的，</w:t>
            </w:r>
            <w:r>
              <w:rPr>
                <w:rFonts w:hint="eastAsia" w:ascii="仿宋_GB2312" w:eastAsia="仿宋_GB2312"/>
                <w:color w:val="000000" w:themeColor="text1"/>
                <w14:textFill>
                  <w14:solidFill>
                    <w14:schemeClr w14:val="tx1"/>
                  </w14:solidFill>
                </w14:textFill>
              </w:rPr>
              <w:t>得2分</w:t>
            </w:r>
            <w:r>
              <w:rPr>
                <w:rFonts w:hint="eastAsia" w:ascii="仿宋_GB2312" w:eastAsia="仿宋_GB2312" w:hAnsiTheme="minorHAnsi" w:cstheme="minorBidi"/>
                <w:color w:val="000000" w:themeColor="text1"/>
                <w14:textFill>
                  <w14:solidFill>
                    <w14:schemeClr w14:val="tx1"/>
                  </w14:solidFill>
                </w14:textFill>
              </w:rPr>
              <w:t>；</w:t>
            </w:r>
            <w:r>
              <w:rPr>
                <w:rFonts w:hint="eastAsia" w:ascii="仿宋_GB2312" w:eastAsia="仿宋_GB2312" w:hAnsiTheme="minorHAnsi" w:cstheme="minorBidi"/>
                <w:color w:val="000000" w:themeColor="text1"/>
                <w14:textFill>
                  <w14:solidFill>
                    <w14:schemeClr w14:val="tx1"/>
                  </w14:solidFill>
                </w14:textFill>
              </w:rPr>
              <w:br w:type="textWrapping"/>
            </w:r>
            <w:r>
              <w:rPr>
                <w:rFonts w:hint="eastAsia" w:ascii="仿宋_GB2312" w:eastAsia="仿宋_GB2312" w:cstheme="minorBidi"/>
                <w:color w:val="000000" w:themeColor="text1"/>
                <w14:textFill>
                  <w14:solidFill>
                    <w14:schemeClr w14:val="tx1"/>
                  </w14:solidFill>
                </w14:textFill>
              </w:rPr>
              <w:t xml:space="preserve">    </w:t>
            </w:r>
            <w:r>
              <w:rPr>
                <w:rFonts w:hint="eastAsia" w:ascii="仿宋_GB2312" w:eastAsia="仿宋_GB2312" w:hAnsiTheme="minorHAnsi" w:cstheme="minorBidi"/>
                <w:color w:val="000000" w:themeColor="text1"/>
                <w14:textFill>
                  <w14:solidFill>
                    <w14:schemeClr w14:val="tx1"/>
                  </w14:solidFill>
                </w14:textFill>
              </w:rPr>
              <w:t>4.未提供项目总体方案或提供内容与本项目不符的，不得分。</w:t>
            </w:r>
          </w:p>
        </w:tc>
        <w:tc>
          <w:tcPr>
            <w:tcW w:w="4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44" w:type="pct"/>
            <w:vMerge w:val="continue"/>
            <w:tcBorders>
              <w:left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p>
        </w:tc>
        <w:tc>
          <w:tcPr>
            <w:tcW w:w="668" w:type="pct"/>
            <w:tcBorders>
              <w:top w:val="single" w:color="auto" w:sz="4" w:space="0"/>
              <w:left w:val="single" w:color="auto" w:sz="4" w:space="0"/>
              <w:right w:val="single" w:color="auto" w:sz="4" w:space="0"/>
            </w:tcBorders>
            <w:vAlign w:val="center"/>
          </w:tcPr>
          <w:p>
            <w:pPr>
              <w:pStyle w:val="45"/>
              <w:snapToGrid w:val="0"/>
              <w:spacing w:line="288" w:lineRule="auto"/>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项目建设方案</w:t>
            </w:r>
          </w:p>
        </w:tc>
        <w:tc>
          <w:tcPr>
            <w:tcW w:w="3278" w:type="pct"/>
            <w:tcBorders>
              <w:top w:val="single" w:color="auto" w:sz="4" w:space="0"/>
              <w:left w:val="single" w:color="auto" w:sz="4" w:space="0"/>
              <w:bottom w:val="single" w:color="auto" w:sz="4" w:space="0"/>
              <w:right w:val="single" w:color="auto" w:sz="4" w:space="0"/>
            </w:tcBorders>
            <w:vAlign w:val="center"/>
          </w:tcPr>
          <w:p>
            <w:pPr>
              <w:pStyle w:val="45"/>
              <w:snapToGrid w:val="0"/>
              <w:spacing w:line="288" w:lineRule="auto"/>
              <w:ind w:firstLine="480" w:firstLineChars="200"/>
              <w:rPr>
                <w:rFonts w:ascii="仿宋_GB2312" w:eastAsia="仿宋_GB2312" w:hAnsiTheme="minorHAnsi" w:cstheme="minorBidi"/>
                <w:b/>
                <w:bCs/>
                <w:color w:val="000000" w:themeColor="text1"/>
                <w14:textFill>
                  <w14:solidFill>
                    <w14:schemeClr w14:val="tx1"/>
                  </w14:solidFill>
                </w14:textFill>
              </w:rPr>
            </w:pPr>
            <w:r>
              <w:rPr>
                <w:rFonts w:hint="eastAsia" w:ascii="仿宋_GB2312" w:hAnsi="仿宋_GB2312" w:eastAsia="仿宋_GB2312" w:cs="仿宋_GB2312"/>
                <w:color w:val="auto"/>
                <w:lang w:bidi="ar"/>
              </w:rPr>
              <w:t>根据投标人提供的城市信息模型信息资源（包括：数据分类、分级、要素、类型、处理、存储、信息资源目录、数据库建设等）、城市信息模型（CIM）基础平台（包括：数据汇聚与管理系统、数据共享与交换系统、数据查询与可视化系统、统计分析系统、监测监督系统、运行管理系统以及开发接口系统）、CIM+场景应用等建设方案进行评审：</w:t>
            </w:r>
            <w:r>
              <w:rPr>
                <w:rFonts w:hint="eastAsia" w:ascii="仿宋_GB2312" w:hAnsi="仿宋_GB2312" w:eastAsia="仿宋_GB2312" w:cs="仿宋_GB2312"/>
                <w:color w:val="FF0000"/>
                <w:lang w:bidi="ar"/>
              </w:rPr>
              <w:br w:type="textWrapping"/>
            </w:r>
            <w:r>
              <w:rPr>
                <w:rFonts w:hint="eastAsia" w:ascii="仿宋_GB2312" w:hAnsi="仿宋_GB2312" w:eastAsia="仿宋_GB2312" w:cs="仿宋_GB2312"/>
                <w:color w:val="000000" w:themeColor="text1"/>
                <w:lang w:bidi="ar"/>
                <w14:textFill>
                  <w14:solidFill>
                    <w14:schemeClr w14:val="tx1"/>
                  </w14:solidFill>
                </w14:textFill>
              </w:rPr>
              <w:t xml:space="preserve">    1.项目建设方案内容详细、计划安排科学合理、系统功能设计针对性强、方案紧密切合需求</w:t>
            </w:r>
            <w:r>
              <w:rPr>
                <w:rFonts w:hint="eastAsia" w:ascii="仿宋_GB2312" w:hAnsi="仿宋_GB2312" w:eastAsia="仿宋_GB2312" w:cs="仿宋_GB2312"/>
                <w:color w:val="000000" w:themeColor="text1"/>
                <w:lang w:val="en-US" w:eastAsia="zh-CN" w:bidi="ar"/>
                <w14:textFill>
                  <w14:solidFill>
                    <w14:schemeClr w14:val="tx1"/>
                  </w14:solidFill>
                </w14:textFill>
              </w:rPr>
              <w:t>的</w:t>
            </w:r>
            <w:r>
              <w:rPr>
                <w:rFonts w:hint="eastAsia" w:ascii="仿宋_GB2312" w:hAnsi="仿宋_GB2312" w:eastAsia="仿宋_GB2312" w:cs="仿宋_GB2312"/>
                <w:color w:val="000000" w:themeColor="text1"/>
                <w:lang w:bidi="ar"/>
                <w14:textFill>
                  <w14:solidFill>
                    <w14:schemeClr w14:val="tx1"/>
                  </w14:solidFill>
                </w14:textFill>
              </w:rPr>
              <w:t>，</w:t>
            </w:r>
            <w:r>
              <w:rPr>
                <w:rFonts w:hint="eastAsia" w:ascii="仿宋_GB2312" w:eastAsia="仿宋_GB2312"/>
                <w:color w:val="000000" w:themeColor="text1"/>
                <w14:textFill>
                  <w14:solidFill>
                    <w14:schemeClr w14:val="tx1"/>
                  </w14:solidFill>
                </w14:textFill>
              </w:rPr>
              <w:t>得6分</w:t>
            </w:r>
            <w:r>
              <w:rPr>
                <w:rFonts w:hint="eastAsia" w:ascii="仿宋_GB2312" w:hAnsi="仿宋_GB2312" w:eastAsia="仿宋_GB2312" w:cs="仿宋_GB2312"/>
                <w:color w:val="000000" w:themeColor="text1"/>
                <w:lang w:bidi="ar"/>
                <w14:textFill>
                  <w14:solidFill>
                    <w14:schemeClr w14:val="tx1"/>
                  </w14:solidFill>
                </w14:textFill>
              </w:rPr>
              <w:t>；</w:t>
            </w:r>
            <w:r>
              <w:rPr>
                <w:rFonts w:hint="eastAsia" w:ascii="仿宋_GB2312" w:hAnsi="仿宋_GB2312" w:eastAsia="仿宋_GB2312" w:cs="仿宋_GB2312"/>
                <w:color w:val="000000" w:themeColor="text1"/>
                <w:lang w:bidi="ar"/>
                <w14:textFill>
                  <w14:solidFill>
                    <w14:schemeClr w14:val="tx1"/>
                  </w14:solidFill>
                </w14:textFill>
              </w:rPr>
              <w:br w:type="textWrapping"/>
            </w:r>
            <w:r>
              <w:rPr>
                <w:rFonts w:hint="eastAsia" w:ascii="仿宋_GB2312" w:hAnsi="仿宋_GB2312" w:eastAsia="仿宋_GB2312" w:cs="仿宋_GB2312"/>
                <w:color w:val="000000" w:themeColor="text1"/>
                <w:lang w:bidi="ar"/>
                <w14:textFill>
                  <w14:solidFill>
                    <w14:schemeClr w14:val="tx1"/>
                  </w14:solidFill>
                </w14:textFill>
              </w:rPr>
              <w:t xml:space="preserve">    2.项目建设方案内容较详细、计划安排较合理、系统功能设计针对性较强、方案</w:t>
            </w:r>
            <w:r>
              <w:rPr>
                <w:rFonts w:hint="eastAsia" w:ascii="仿宋_GB2312" w:hAnsi="仿宋_GB2312" w:eastAsia="仿宋_GB2312" w:cs="仿宋_GB2312"/>
                <w:color w:val="000000" w:themeColor="text1"/>
                <w:lang w:val="en-US" w:eastAsia="zh-CN" w:bidi="ar"/>
                <w14:textFill>
                  <w14:solidFill>
                    <w14:schemeClr w14:val="tx1"/>
                  </w14:solidFill>
                </w14:textFill>
              </w:rPr>
              <w:t>较</w:t>
            </w:r>
            <w:r>
              <w:rPr>
                <w:rFonts w:hint="eastAsia" w:ascii="仿宋_GB2312" w:hAnsi="仿宋_GB2312" w:eastAsia="仿宋_GB2312" w:cs="仿宋_GB2312"/>
                <w:color w:val="000000" w:themeColor="text1"/>
                <w:lang w:bidi="ar"/>
                <w14:textFill>
                  <w14:solidFill>
                    <w14:schemeClr w14:val="tx1"/>
                  </w14:solidFill>
                </w14:textFill>
              </w:rPr>
              <w:t>切合需求的，</w:t>
            </w:r>
            <w:r>
              <w:rPr>
                <w:rFonts w:hint="eastAsia" w:ascii="仿宋_GB2312" w:eastAsia="仿宋_GB2312"/>
                <w:color w:val="000000" w:themeColor="text1"/>
                <w14:textFill>
                  <w14:solidFill>
                    <w14:schemeClr w14:val="tx1"/>
                  </w14:solidFill>
                </w14:textFill>
              </w:rPr>
              <w:t>得4分</w:t>
            </w:r>
            <w:r>
              <w:rPr>
                <w:rFonts w:hint="eastAsia" w:ascii="仿宋_GB2312" w:hAnsi="仿宋_GB2312" w:eastAsia="仿宋_GB2312" w:cs="仿宋_GB2312"/>
                <w:color w:val="000000" w:themeColor="text1"/>
                <w:lang w:bidi="ar"/>
                <w14:textFill>
                  <w14:solidFill>
                    <w14:schemeClr w14:val="tx1"/>
                  </w14:solidFill>
                </w14:textFill>
              </w:rPr>
              <w:t>；</w:t>
            </w:r>
            <w:r>
              <w:rPr>
                <w:rFonts w:hint="eastAsia" w:ascii="仿宋_GB2312" w:hAnsi="仿宋_GB2312" w:eastAsia="仿宋_GB2312" w:cs="仿宋_GB2312"/>
                <w:color w:val="000000" w:themeColor="text1"/>
                <w:lang w:bidi="ar"/>
                <w14:textFill>
                  <w14:solidFill>
                    <w14:schemeClr w14:val="tx1"/>
                  </w14:solidFill>
                </w14:textFill>
              </w:rPr>
              <w:br w:type="textWrapping"/>
            </w:r>
            <w:r>
              <w:rPr>
                <w:rFonts w:hint="eastAsia" w:ascii="仿宋_GB2312" w:hAnsi="仿宋_GB2312" w:eastAsia="仿宋_GB2312" w:cs="仿宋_GB2312"/>
                <w:color w:val="000000" w:themeColor="text1"/>
                <w:lang w:bidi="ar"/>
                <w14:textFill>
                  <w14:solidFill>
                    <w14:schemeClr w14:val="tx1"/>
                  </w14:solidFill>
                </w14:textFill>
              </w:rPr>
              <w:t xml:space="preserve">    3.项目建设方案内容、计划安排基本合理，系统功能设计针对性不强但方案基本切合需求的，</w:t>
            </w:r>
            <w:r>
              <w:rPr>
                <w:rFonts w:hint="eastAsia" w:ascii="仿宋_GB2312" w:eastAsia="仿宋_GB2312"/>
                <w:color w:val="000000" w:themeColor="text1"/>
                <w14:textFill>
                  <w14:solidFill>
                    <w14:schemeClr w14:val="tx1"/>
                  </w14:solidFill>
                </w14:textFill>
              </w:rPr>
              <w:t>得2分</w:t>
            </w:r>
            <w:r>
              <w:rPr>
                <w:rFonts w:hint="eastAsia" w:ascii="仿宋_GB2312" w:hAnsi="仿宋_GB2312" w:eastAsia="仿宋_GB2312" w:cs="仿宋_GB2312"/>
                <w:color w:val="000000" w:themeColor="text1"/>
                <w:lang w:bidi="ar"/>
                <w14:textFill>
                  <w14:solidFill>
                    <w14:schemeClr w14:val="tx1"/>
                  </w14:solidFill>
                </w14:textFill>
              </w:rPr>
              <w:t>；</w:t>
            </w:r>
            <w:r>
              <w:rPr>
                <w:rFonts w:hint="eastAsia" w:ascii="仿宋_GB2312" w:hAnsi="仿宋_GB2312" w:eastAsia="仿宋_GB2312" w:cs="仿宋_GB2312"/>
                <w:color w:val="000000" w:themeColor="text1"/>
                <w:lang w:bidi="ar"/>
                <w14:textFill>
                  <w14:solidFill>
                    <w14:schemeClr w14:val="tx1"/>
                  </w14:solidFill>
                </w14:textFill>
              </w:rPr>
              <w:br w:type="textWrapping"/>
            </w:r>
            <w:r>
              <w:rPr>
                <w:rFonts w:hint="eastAsia" w:ascii="仿宋_GB2312" w:hAnsi="仿宋_GB2312" w:eastAsia="仿宋_GB2312" w:cs="仿宋_GB2312"/>
                <w:color w:val="000000" w:themeColor="text1"/>
                <w:lang w:bidi="ar"/>
                <w14:textFill>
                  <w14:solidFill>
                    <w14:schemeClr w14:val="tx1"/>
                  </w14:solidFill>
                </w14:textFill>
              </w:rPr>
              <w:t xml:space="preserve">    4.</w:t>
            </w:r>
            <w:r>
              <w:rPr>
                <w:rFonts w:hint="eastAsia" w:ascii="仿宋_GB2312" w:eastAsia="仿宋_GB2312" w:hAnsiTheme="minorHAnsi" w:cstheme="minorBidi"/>
                <w:color w:val="000000" w:themeColor="text1"/>
                <w14:textFill>
                  <w14:solidFill>
                    <w14:schemeClr w14:val="tx1"/>
                  </w14:solidFill>
                </w14:textFill>
              </w:rPr>
              <w:t>未提供项目建设方案或提供内容与本项目不符的，不得分。</w:t>
            </w:r>
          </w:p>
        </w:tc>
        <w:tc>
          <w:tcPr>
            <w:tcW w:w="4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44" w:type="pct"/>
            <w:vMerge w:val="continue"/>
            <w:tcBorders>
              <w:left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p>
        </w:tc>
        <w:tc>
          <w:tcPr>
            <w:tcW w:w="668" w:type="pct"/>
            <w:tcBorders>
              <w:top w:val="single" w:color="auto" w:sz="4" w:space="0"/>
              <w:left w:val="single" w:color="auto" w:sz="4" w:space="0"/>
              <w:bottom w:val="single" w:color="auto" w:sz="4" w:space="0"/>
              <w:right w:val="single" w:color="auto" w:sz="4" w:space="0"/>
            </w:tcBorders>
            <w:vAlign w:val="center"/>
          </w:tcPr>
          <w:p>
            <w:pPr>
              <w:pStyle w:val="45"/>
              <w:snapToGrid w:val="0"/>
              <w:spacing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项目组织方案</w:t>
            </w:r>
          </w:p>
        </w:tc>
        <w:tc>
          <w:tcPr>
            <w:tcW w:w="3278" w:type="pct"/>
            <w:tcBorders>
              <w:top w:val="single" w:color="auto" w:sz="4" w:space="0"/>
              <w:left w:val="single" w:color="auto" w:sz="4" w:space="0"/>
              <w:bottom w:val="single" w:color="auto" w:sz="4" w:space="0"/>
              <w:right w:val="single" w:color="auto" w:sz="4" w:space="0"/>
            </w:tcBorders>
            <w:vAlign w:val="center"/>
          </w:tcPr>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根据投标人提供的辽宁省城市信息模型（CIM）基础平台的项目组织方案（包括：项目建设组织方式、项目建设单位（部门）组织工作方案、项目建设专业技术人员协同工作方案等）进行评审：</w:t>
            </w:r>
          </w:p>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1.项目建设的组织方式清晰，单位（部门）工作组织合理，项目建设各专业技术人员协同工作科学规范实用的，得6分；</w:t>
            </w:r>
          </w:p>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2.项目建设的组织方式较清晰，单位（部门）工作组织较合理，项目建设各专业技术人员协同工作较规范的，得4分；</w:t>
            </w:r>
          </w:p>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3.项目建设的组织方式基本清晰，单位（部门）工作组织基本合理，项目建设各专业技术人员协同工作基本规范的，得2分；</w:t>
            </w:r>
          </w:p>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4.未提供项目组织方案或提供内容与本项目不符的，不得分。</w:t>
            </w:r>
          </w:p>
        </w:tc>
        <w:tc>
          <w:tcPr>
            <w:tcW w:w="4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44" w:type="pct"/>
            <w:vMerge w:val="continue"/>
            <w:tcBorders>
              <w:left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p>
        </w:tc>
        <w:tc>
          <w:tcPr>
            <w:tcW w:w="668" w:type="pct"/>
            <w:tcBorders>
              <w:top w:val="single" w:color="auto" w:sz="4" w:space="0"/>
              <w:left w:val="single" w:color="auto" w:sz="4" w:space="0"/>
              <w:bottom w:val="single" w:color="auto" w:sz="4" w:space="0"/>
              <w:right w:val="single" w:color="auto" w:sz="4" w:space="0"/>
            </w:tcBorders>
            <w:vAlign w:val="center"/>
          </w:tcPr>
          <w:p>
            <w:pPr>
              <w:pStyle w:val="45"/>
              <w:snapToGrid w:val="0"/>
              <w:spacing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项目实施方案</w:t>
            </w:r>
          </w:p>
        </w:tc>
        <w:tc>
          <w:tcPr>
            <w:tcW w:w="3278" w:type="pct"/>
            <w:tcBorders>
              <w:top w:val="single" w:color="auto" w:sz="4" w:space="0"/>
              <w:left w:val="single" w:color="auto" w:sz="4" w:space="0"/>
              <w:bottom w:val="single" w:color="auto" w:sz="4" w:space="0"/>
              <w:right w:val="single" w:color="auto" w:sz="4" w:space="0"/>
            </w:tcBorders>
            <w:vAlign w:val="center"/>
          </w:tcPr>
          <w:p>
            <w:pPr>
              <w:pStyle w:val="45"/>
              <w:snapToGrid w:val="0"/>
              <w:spacing w:line="288" w:lineRule="auto"/>
              <w:ind w:firstLine="480" w:firstLineChars="200"/>
              <w:rPr>
                <w:rFonts w:ascii="仿宋_GB2312" w:eastAsia="仿宋_GB2312" w:hAnsiTheme="minorHAnsi" w:cstheme="minorBidi"/>
                <w:b/>
                <w:bCs/>
                <w:color w:val="000000" w:themeColor="text1"/>
                <w14:textFill>
                  <w14:solidFill>
                    <w14:schemeClr w14:val="tx1"/>
                  </w14:solidFill>
                </w14:textFill>
              </w:rPr>
            </w:pPr>
            <w:r>
              <w:rPr>
                <w:rFonts w:hint="eastAsia" w:ascii="仿宋_GB2312" w:hAnsi="仿宋_GB2312" w:eastAsia="仿宋_GB2312" w:cs="仿宋_GB2312"/>
                <w:color w:val="000000" w:themeColor="text1"/>
                <w:lang w:bidi="ar"/>
                <w14:textFill>
                  <w14:solidFill>
                    <w14:schemeClr w14:val="tx1"/>
                  </w14:solidFill>
                </w14:textFill>
              </w:rPr>
              <w:t>根据投标人提供的辽宁省城市信息模型（CIM）基础平台的项目实施方案（包括：项目实施进度安排、培训计划、人员配置、项目风险管控、项目质量管理、信息安全管理、运维保障措施）进行评审：</w:t>
            </w:r>
            <w:r>
              <w:rPr>
                <w:rFonts w:hint="eastAsia" w:ascii="仿宋_GB2312" w:hAnsi="仿宋_GB2312" w:eastAsia="仿宋_GB2312" w:cs="仿宋_GB2312"/>
                <w:color w:val="000000" w:themeColor="text1"/>
                <w:lang w:bidi="ar"/>
                <w14:textFill>
                  <w14:solidFill>
                    <w14:schemeClr w14:val="tx1"/>
                  </w14:solidFill>
                </w14:textFill>
              </w:rPr>
              <w:br w:type="textWrapping"/>
            </w:r>
            <w:r>
              <w:rPr>
                <w:rFonts w:hint="eastAsia" w:ascii="仿宋_GB2312" w:hAnsi="仿宋_GB2312" w:eastAsia="仿宋_GB2312" w:cs="仿宋_GB2312"/>
                <w:color w:val="000000" w:themeColor="text1"/>
                <w:lang w:bidi="ar"/>
                <w14:textFill>
                  <w14:solidFill>
                    <w14:schemeClr w14:val="tx1"/>
                  </w14:solidFill>
                </w14:textFill>
              </w:rPr>
              <w:t xml:space="preserve">    1.对项目的进度安排、培训计划、人员计划安排合理，风险管控措施、质量保证措施、信息安全措施、运维保障措施清晰实用，过程控制科学规范的，</w:t>
            </w:r>
            <w:r>
              <w:rPr>
                <w:rFonts w:hint="eastAsia" w:ascii="仿宋_GB2312" w:eastAsia="仿宋_GB2312"/>
                <w:color w:val="000000" w:themeColor="text1"/>
                <w14:textFill>
                  <w14:solidFill>
                    <w14:schemeClr w14:val="tx1"/>
                  </w14:solidFill>
                </w14:textFill>
              </w:rPr>
              <w:t>得6分</w:t>
            </w:r>
            <w:r>
              <w:rPr>
                <w:rFonts w:hint="eastAsia" w:ascii="仿宋_GB2312" w:hAnsi="仿宋_GB2312" w:eastAsia="仿宋_GB2312" w:cs="仿宋_GB2312"/>
                <w:color w:val="000000" w:themeColor="text1"/>
                <w:lang w:bidi="ar"/>
                <w14:textFill>
                  <w14:solidFill>
                    <w14:schemeClr w14:val="tx1"/>
                  </w14:solidFill>
                </w14:textFill>
              </w:rPr>
              <w:t>；</w:t>
            </w:r>
            <w:r>
              <w:rPr>
                <w:rFonts w:hint="eastAsia" w:ascii="仿宋_GB2312" w:hAnsi="仿宋_GB2312" w:eastAsia="仿宋_GB2312" w:cs="仿宋_GB2312"/>
                <w:color w:val="000000" w:themeColor="text1"/>
                <w:lang w:bidi="ar"/>
                <w14:textFill>
                  <w14:solidFill>
                    <w14:schemeClr w14:val="tx1"/>
                  </w14:solidFill>
                </w14:textFill>
              </w:rPr>
              <w:br w:type="textWrapping"/>
            </w:r>
            <w:r>
              <w:rPr>
                <w:rFonts w:hint="eastAsia" w:ascii="仿宋_GB2312" w:hAnsi="仿宋_GB2312" w:eastAsia="仿宋_GB2312" w:cs="仿宋_GB2312"/>
                <w:color w:val="000000" w:themeColor="text1"/>
                <w:lang w:bidi="ar"/>
                <w14:textFill>
                  <w14:solidFill>
                    <w14:schemeClr w14:val="tx1"/>
                  </w14:solidFill>
                </w14:textFill>
              </w:rPr>
              <w:t xml:space="preserve">    2.对项目的进度安排、培训计划、人员计划安排较合理，风险管控措施、质量保证措施、信息安全措施、运维保障措施较清晰，过程控制较规范的，</w:t>
            </w:r>
            <w:r>
              <w:rPr>
                <w:rFonts w:hint="eastAsia" w:ascii="仿宋_GB2312" w:eastAsia="仿宋_GB2312"/>
                <w:color w:val="000000" w:themeColor="text1"/>
                <w14:textFill>
                  <w14:solidFill>
                    <w14:schemeClr w14:val="tx1"/>
                  </w14:solidFill>
                </w14:textFill>
              </w:rPr>
              <w:t>得4分</w:t>
            </w:r>
            <w:r>
              <w:rPr>
                <w:rFonts w:hint="eastAsia" w:ascii="仿宋_GB2312" w:hAnsi="仿宋_GB2312" w:eastAsia="仿宋_GB2312" w:cs="仿宋_GB2312"/>
                <w:color w:val="000000" w:themeColor="text1"/>
                <w:lang w:bidi="ar"/>
                <w14:textFill>
                  <w14:solidFill>
                    <w14:schemeClr w14:val="tx1"/>
                  </w14:solidFill>
                </w14:textFill>
              </w:rPr>
              <w:t>；</w:t>
            </w:r>
            <w:r>
              <w:rPr>
                <w:rFonts w:hint="eastAsia" w:ascii="仿宋_GB2312" w:hAnsi="仿宋_GB2312" w:eastAsia="仿宋_GB2312" w:cs="仿宋_GB2312"/>
                <w:color w:val="000000" w:themeColor="text1"/>
                <w:lang w:bidi="ar"/>
                <w14:textFill>
                  <w14:solidFill>
                    <w14:schemeClr w14:val="tx1"/>
                  </w14:solidFill>
                </w14:textFill>
              </w:rPr>
              <w:br w:type="textWrapping"/>
            </w:r>
            <w:r>
              <w:rPr>
                <w:rFonts w:hint="eastAsia" w:ascii="仿宋_GB2312" w:hAnsi="仿宋_GB2312" w:eastAsia="仿宋_GB2312" w:cs="仿宋_GB2312"/>
                <w:color w:val="000000" w:themeColor="text1"/>
                <w:lang w:bidi="ar"/>
                <w14:textFill>
                  <w14:solidFill>
                    <w14:schemeClr w14:val="tx1"/>
                  </w14:solidFill>
                </w14:textFill>
              </w:rPr>
              <w:t xml:space="preserve">    3.对项目的进度安排、培训计划、人员计划安排基本合理，风险管控措施、质量保证措施、信息安全措施、运维保障措施基本清晰，过程控制基本规范的，</w:t>
            </w:r>
            <w:r>
              <w:rPr>
                <w:rFonts w:hint="eastAsia" w:ascii="仿宋_GB2312" w:eastAsia="仿宋_GB2312"/>
                <w:color w:val="000000" w:themeColor="text1"/>
                <w14:textFill>
                  <w14:solidFill>
                    <w14:schemeClr w14:val="tx1"/>
                  </w14:solidFill>
                </w14:textFill>
              </w:rPr>
              <w:t>得2分</w:t>
            </w:r>
            <w:r>
              <w:rPr>
                <w:rFonts w:hint="eastAsia" w:ascii="仿宋_GB2312" w:hAnsi="仿宋_GB2312" w:eastAsia="仿宋_GB2312" w:cs="仿宋_GB2312"/>
                <w:color w:val="000000" w:themeColor="text1"/>
                <w:lang w:bidi="ar"/>
                <w14:textFill>
                  <w14:solidFill>
                    <w14:schemeClr w14:val="tx1"/>
                  </w14:solidFill>
                </w14:textFill>
              </w:rPr>
              <w:t>；</w:t>
            </w:r>
            <w:r>
              <w:rPr>
                <w:rFonts w:hint="eastAsia" w:ascii="仿宋_GB2312" w:hAnsi="仿宋_GB2312" w:eastAsia="仿宋_GB2312" w:cs="仿宋_GB2312"/>
                <w:color w:val="000000" w:themeColor="text1"/>
                <w:lang w:bidi="ar"/>
                <w14:textFill>
                  <w14:solidFill>
                    <w14:schemeClr w14:val="tx1"/>
                  </w14:solidFill>
                </w14:textFill>
              </w:rPr>
              <w:br w:type="textWrapping"/>
            </w:r>
            <w:r>
              <w:rPr>
                <w:rFonts w:hint="eastAsia" w:ascii="仿宋_GB2312" w:hAnsi="仿宋_GB2312" w:eastAsia="仿宋_GB2312" w:cs="仿宋_GB2312"/>
                <w:color w:val="000000" w:themeColor="text1"/>
                <w:lang w:bidi="ar"/>
                <w14:textFill>
                  <w14:solidFill>
                    <w14:schemeClr w14:val="tx1"/>
                  </w14:solidFill>
                </w14:textFill>
              </w:rPr>
              <w:t xml:space="preserve">    4.</w:t>
            </w:r>
            <w:r>
              <w:rPr>
                <w:rFonts w:hint="eastAsia" w:ascii="仿宋_GB2312" w:eastAsia="仿宋_GB2312" w:hAnsiTheme="minorHAnsi" w:cstheme="minorBidi"/>
                <w:color w:val="000000" w:themeColor="text1"/>
                <w14:textFill>
                  <w14:solidFill>
                    <w14:schemeClr w14:val="tx1"/>
                  </w14:solidFill>
                </w14:textFill>
              </w:rPr>
              <w:t>未提供项目实施方案或提供内容与本项目不符的，不得分。</w:t>
            </w:r>
          </w:p>
        </w:tc>
        <w:tc>
          <w:tcPr>
            <w:tcW w:w="4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44" w:type="pct"/>
            <w:vMerge w:val="continue"/>
            <w:tcBorders>
              <w:left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p>
        </w:tc>
        <w:tc>
          <w:tcPr>
            <w:tcW w:w="6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8"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应急保障</w:t>
            </w:r>
            <w:r>
              <w:rPr>
                <w:rFonts w:hint="eastAsia" w:ascii="仿宋_GB2312" w:eastAsia="仿宋_GB2312"/>
                <w:bCs/>
                <w:color w:val="000000" w:themeColor="text1"/>
                <w:kern w:val="0"/>
                <w:sz w:val="24"/>
                <w14:textFill>
                  <w14:solidFill>
                    <w14:schemeClr w14:val="tx1"/>
                  </w14:solidFill>
                </w14:textFill>
              </w:rPr>
              <w:t>方案</w:t>
            </w:r>
          </w:p>
        </w:tc>
        <w:tc>
          <w:tcPr>
            <w:tcW w:w="3278" w:type="pct"/>
            <w:tcBorders>
              <w:top w:val="single" w:color="auto" w:sz="4" w:space="0"/>
              <w:left w:val="single" w:color="auto" w:sz="4" w:space="0"/>
              <w:bottom w:val="single" w:color="auto" w:sz="4" w:space="0"/>
              <w:right w:val="single" w:color="auto" w:sz="4" w:space="0"/>
            </w:tcBorders>
            <w:vAlign w:val="center"/>
          </w:tcPr>
          <w:p>
            <w:pPr>
              <w:snapToGrid w:val="0"/>
              <w:spacing w:line="288" w:lineRule="auto"/>
              <w:ind w:firstLine="480" w:firstLineChars="200"/>
              <w:textAlignment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应急保障方案包含但不限于应急处理程序、应急工作小组架构及职责、系统应急预案启动、技术支持保障等内容</w:t>
            </w:r>
            <w:r>
              <w:rPr>
                <w:rFonts w:hint="eastAsia" w:ascii="仿宋_GB2312" w:eastAsia="仿宋_GB2312"/>
                <w:color w:val="000000" w:themeColor="text1"/>
                <w:sz w:val="24"/>
                <w14:textFill>
                  <w14:solidFill>
                    <w14:schemeClr w14:val="tx1"/>
                  </w14:solidFill>
                </w14:textFill>
              </w:rPr>
              <w:t>对其</w:t>
            </w:r>
            <w:r>
              <w:rPr>
                <w:rFonts w:hint="eastAsia" w:ascii="仿宋_GB2312" w:eastAsia="仿宋_GB2312"/>
                <w:color w:val="000000" w:themeColor="text1"/>
                <w:kern w:val="0"/>
                <w:sz w:val="24"/>
                <w14:textFill>
                  <w14:solidFill>
                    <w14:schemeClr w14:val="tx1"/>
                  </w14:solidFill>
                </w14:textFill>
              </w:rPr>
              <w:t>进行综合评分</w:t>
            </w:r>
            <w:r>
              <w:rPr>
                <w:rFonts w:hint="eastAsia" w:ascii="仿宋_GB2312" w:hAnsi="仿宋_GB2312" w:eastAsia="仿宋_GB2312" w:cs="仿宋_GB2312"/>
                <w:color w:val="000000" w:themeColor="text1"/>
                <w14:textFill>
                  <w14:solidFill>
                    <w14:schemeClr w14:val="tx1"/>
                  </w14:solidFill>
                </w14:textFill>
              </w:rPr>
              <w:t>：</w:t>
            </w:r>
          </w:p>
          <w:p>
            <w:pPr>
              <w:snapToGrid w:val="0"/>
              <w:spacing w:line="288" w:lineRule="auto"/>
              <w:ind w:firstLine="480" w:firstLineChars="200"/>
              <w:textAlignment w:val="center"/>
              <w:rPr>
                <w:rFonts w:ascii="仿宋_GB2312" w:eastAsia="仿宋_GB2312"/>
                <w:bCs/>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1</w:t>
            </w:r>
            <w:r>
              <w:rPr>
                <w:rFonts w:ascii="仿宋_GB2312" w:eastAsia="仿宋_GB2312"/>
                <w:color w:val="000000" w:themeColor="text1"/>
                <w:kern w:val="0"/>
                <w:sz w:val="24"/>
                <w14:textFill>
                  <w14:solidFill>
                    <w14:schemeClr w14:val="tx1"/>
                  </w14:solidFill>
                </w14:textFill>
              </w:rPr>
              <w:t>.</w:t>
            </w:r>
            <w:r>
              <w:rPr>
                <w:rFonts w:hint="eastAsia" w:ascii="仿宋_GB2312" w:eastAsia="仿宋_GB2312"/>
                <w:color w:val="000000" w:themeColor="text1"/>
                <w:kern w:val="0"/>
                <w:sz w:val="24"/>
                <w14:textFill>
                  <w14:solidFill>
                    <w14:schemeClr w14:val="tx1"/>
                  </w14:solidFill>
                </w14:textFill>
              </w:rPr>
              <w:t>应急保障</w:t>
            </w:r>
            <w:r>
              <w:rPr>
                <w:rFonts w:hint="eastAsia" w:ascii="仿宋_GB2312" w:eastAsia="仿宋_GB2312"/>
                <w:bCs/>
                <w:color w:val="000000" w:themeColor="text1"/>
                <w:kern w:val="0"/>
                <w:sz w:val="24"/>
                <w14:textFill>
                  <w14:solidFill>
                    <w14:schemeClr w14:val="tx1"/>
                  </w14:solidFill>
                </w14:textFill>
              </w:rPr>
              <w:t>方案全面详实，完全满足服务需求的，</w:t>
            </w:r>
            <w:r>
              <w:rPr>
                <w:rFonts w:hint="eastAsia" w:ascii="仿宋_GB2312" w:eastAsia="仿宋_GB2312"/>
                <w:color w:val="000000" w:themeColor="text1"/>
                <w:kern w:val="0"/>
                <w:sz w:val="24"/>
                <w14:textFill>
                  <w14:solidFill>
                    <w14:schemeClr w14:val="tx1"/>
                  </w14:solidFill>
                </w14:textFill>
              </w:rPr>
              <w:t>得2分；</w:t>
            </w:r>
          </w:p>
          <w:p>
            <w:pPr>
              <w:snapToGrid w:val="0"/>
              <w:spacing w:line="288" w:lineRule="auto"/>
              <w:ind w:firstLine="480" w:firstLineChars="200"/>
              <w:textAlignment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2</w:t>
            </w:r>
            <w:r>
              <w:rPr>
                <w:rFonts w:ascii="仿宋_GB2312" w:eastAsia="仿宋_GB2312"/>
                <w:color w:val="000000" w:themeColor="text1"/>
                <w:kern w:val="0"/>
                <w:sz w:val="24"/>
                <w14:textFill>
                  <w14:solidFill>
                    <w14:schemeClr w14:val="tx1"/>
                  </w14:solidFill>
                </w14:textFill>
              </w:rPr>
              <w:t>.</w:t>
            </w:r>
            <w:r>
              <w:rPr>
                <w:rFonts w:hint="eastAsia" w:ascii="仿宋_GB2312" w:eastAsia="仿宋_GB2312"/>
                <w:color w:val="000000" w:themeColor="text1"/>
                <w:kern w:val="0"/>
                <w:sz w:val="24"/>
                <w14:textFill>
                  <w14:solidFill>
                    <w14:schemeClr w14:val="tx1"/>
                  </w14:solidFill>
                </w14:textFill>
              </w:rPr>
              <w:t>具有明确的应急处理程序和工作小组架构及职责且内容清晰合理的，得2分；</w:t>
            </w:r>
          </w:p>
          <w:p>
            <w:pPr>
              <w:snapToGrid w:val="0"/>
              <w:spacing w:line="288" w:lineRule="auto"/>
              <w:ind w:firstLine="480" w:firstLineChars="200"/>
              <w:textAlignment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3</w:t>
            </w:r>
            <w:r>
              <w:rPr>
                <w:rFonts w:ascii="仿宋_GB2312" w:eastAsia="仿宋_GB2312"/>
                <w:color w:val="000000" w:themeColor="text1"/>
                <w:kern w:val="0"/>
                <w:sz w:val="24"/>
                <w14:textFill>
                  <w14:solidFill>
                    <w14:schemeClr w14:val="tx1"/>
                  </w14:solidFill>
                </w14:textFill>
              </w:rPr>
              <w:t>.</w:t>
            </w:r>
            <w:r>
              <w:rPr>
                <w:rFonts w:hint="eastAsia" w:ascii="仿宋_GB2312" w:eastAsia="仿宋_GB2312"/>
                <w:color w:val="000000" w:themeColor="text1"/>
                <w:kern w:val="0"/>
                <w:sz w:val="24"/>
                <w14:textFill>
                  <w14:solidFill>
                    <w14:schemeClr w14:val="tx1"/>
                  </w14:solidFill>
                </w14:textFill>
              </w:rPr>
              <w:t>具有明确的系统应急预案启动和技术支持保障</w:t>
            </w:r>
            <w:r>
              <w:rPr>
                <w:rFonts w:hint="eastAsia" w:ascii="仿宋_GB2312" w:eastAsia="仿宋_GB2312"/>
                <w:color w:val="000000" w:themeColor="text1"/>
                <w:sz w:val="24"/>
                <w14:textFill>
                  <w14:solidFill>
                    <w14:schemeClr w14:val="tx1"/>
                  </w14:solidFill>
                </w14:textFill>
              </w:rPr>
              <w:t>且科学合理可行</w:t>
            </w:r>
            <w:r>
              <w:rPr>
                <w:rFonts w:hint="eastAsia" w:ascii="仿宋_GB2312" w:eastAsia="仿宋_GB2312"/>
                <w:color w:val="000000" w:themeColor="text1"/>
                <w:kern w:val="0"/>
                <w:sz w:val="24"/>
                <w14:textFill>
                  <w14:solidFill>
                    <w14:schemeClr w14:val="tx1"/>
                  </w14:solidFill>
                </w14:textFill>
              </w:rPr>
              <w:t>的，得2分；</w:t>
            </w:r>
          </w:p>
          <w:p>
            <w:pPr>
              <w:snapToGrid w:val="0"/>
              <w:spacing w:line="288" w:lineRule="auto"/>
              <w:ind w:firstLine="480" w:firstLineChars="200"/>
              <w:textAlignment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4.未提供应急保障方案或提供内容与本项目不符的，不得分。</w:t>
            </w:r>
          </w:p>
        </w:tc>
        <w:tc>
          <w:tcPr>
            <w:tcW w:w="4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44" w:type="pct"/>
            <w:vMerge w:val="continue"/>
            <w:tcBorders>
              <w:left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p>
        </w:tc>
        <w:tc>
          <w:tcPr>
            <w:tcW w:w="6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8"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培训服务方案</w:t>
            </w:r>
          </w:p>
        </w:tc>
        <w:tc>
          <w:tcPr>
            <w:tcW w:w="3278" w:type="pct"/>
            <w:tcBorders>
              <w:top w:val="single" w:color="auto" w:sz="4" w:space="0"/>
              <w:left w:val="single" w:color="auto" w:sz="4" w:space="0"/>
              <w:bottom w:val="single" w:color="auto" w:sz="4" w:space="0"/>
              <w:right w:val="single" w:color="auto" w:sz="4" w:space="0"/>
            </w:tcBorders>
            <w:vAlign w:val="center"/>
          </w:tcPr>
          <w:p>
            <w:pPr>
              <w:snapToGrid w:val="0"/>
              <w:spacing w:line="288" w:lineRule="auto"/>
              <w:ind w:firstLine="480" w:firstLineChars="200"/>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培训服务方案包含但不限于培训材料、培训计划、日常操作使用指南及培训目标等内容对其进行综合评分：</w:t>
            </w:r>
          </w:p>
          <w:p>
            <w:pPr>
              <w:snapToGrid w:val="0"/>
              <w:spacing w:line="288" w:lineRule="auto"/>
              <w:ind w:firstLine="480" w:firstLineChars="200"/>
              <w:textAlignment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1</w:t>
            </w:r>
            <w:r>
              <w:rPr>
                <w:rFonts w:ascii="仿宋_GB2312" w:eastAsia="仿宋_GB2312"/>
                <w:color w:val="000000" w:themeColor="text1"/>
                <w:kern w:val="0"/>
                <w:sz w:val="24"/>
                <w14:textFill>
                  <w14:solidFill>
                    <w14:schemeClr w14:val="tx1"/>
                  </w14:solidFill>
                </w14:textFill>
              </w:rPr>
              <w:t>.</w:t>
            </w:r>
            <w:r>
              <w:rPr>
                <w:rFonts w:hint="eastAsia" w:ascii="仿宋_GB2312" w:eastAsia="仿宋_GB2312"/>
                <w:color w:val="000000" w:themeColor="text1"/>
                <w:kern w:val="0"/>
                <w:sz w:val="24"/>
                <w14:textFill>
                  <w14:solidFill>
                    <w14:schemeClr w14:val="tx1"/>
                  </w14:solidFill>
                </w14:textFill>
              </w:rPr>
              <w:t>培训服务方案</w:t>
            </w:r>
            <w:r>
              <w:rPr>
                <w:rFonts w:hint="eastAsia" w:ascii="仿宋_GB2312" w:eastAsia="仿宋_GB2312"/>
                <w:bCs/>
                <w:color w:val="000000" w:themeColor="text1"/>
                <w:kern w:val="0"/>
                <w:sz w:val="24"/>
                <w14:textFill>
                  <w14:solidFill>
                    <w14:schemeClr w14:val="tx1"/>
                  </w14:solidFill>
                </w14:textFill>
              </w:rPr>
              <w:t>全面详实，完全满足服务需求的，</w:t>
            </w:r>
            <w:r>
              <w:rPr>
                <w:rFonts w:hint="eastAsia" w:ascii="仿宋_GB2312" w:eastAsia="仿宋_GB2312"/>
                <w:color w:val="000000" w:themeColor="text1"/>
                <w:kern w:val="0"/>
                <w:sz w:val="24"/>
                <w14:textFill>
                  <w14:solidFill>
                    <w14:schemeClr w14:val="tx1"/>
                  </w14:solidFill>
                </w14:textFill>
              </w:rPr>
              <w:t>得2分</w:t>
            </w:r>
            <w:r>
              <w:rPr>
                <w:rFonts w:hint="eastAsia" w:ascii="仿宋_GB2312" w:eastAsia="仿宋_GB2312"/>
                <w:bCs/>
                <w:color w:val="000000" w:themeColor="text1"/>
                <w:kern w:val="0"/>
                <w:sz w:val="24"/>
                <w14:textFill>
                  <w14:solidFill>
                    <w14:schemeClr w14:val="tx1"/>
                  </w14:solidFill>
                </w14:textFill>
              </w:rPr>
              <w:t>；</w:t>
            </w:r>
          </w:p>
          <w:p>
            <w:pPr>
              <w:snapToGrid w:val="0"/>
              <w:spacing w:line="288" w:lineRule="auto"/>
              <w:ind w:firstLine="480" w:firstLineChars="200"/>
              <w:textAlignment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2</w:t>
            </w:r>
            <w:r>
              <w:rPr>
                <w:rFonts w:ascii="仿宋_GB2312" w:eastAsia="仿宋_GB2312"/>
                <w:color w:val="000000" w:themeColor="text1"/>
                <w:kern w:val="0"/>
                <w:sz w:val="24"/>
                <w14:textFill>
                  <w14:solidFill>
                    <w14:schemeClr w14:val="tx1"/>
                  </w14:solidFill>
                </w14:textFill>
              </w:rPr>
              <w:t>.</w:t>
            </w:r>
            <w:r>
              <w:rPr>
                <w:rFonts w:hint="eastAsia" w:ascii="仿宋_GB2312" w:eastAsia="仿宋_GB2312"/>
                <w:color w:val="000000" w:themeColor="text1"/>
                <w:kern w:val="0"/>
                <w:sz w:val="24"/>
                <w14:textFill>
                  <w14:solidFill>
                    <w14:schemeClr w14:val="tx1"/>
                  </w14:solidFill>
                </w14:textFill>
              </w:rPr>
              <w:t>具有明确的培训目标和计划且</w:t>
            </w:r>
            <w:r>
              <w:rPr>
                <w:rFonts w:hint="eastAsia" w:ascii="仿宋_GB2312" w:eastAsia="仿宋_GB2312"/>
                <w:color w:val="000000" w:themeColor="text1"/>
                <w:sz w:val="24"/>
                <w14:textFill>
                  <w14:solidFill>
                    <w14:schemeClr w14:val="tx1"/>
                  </w14:solidFill>
                </w14:textFill>
              </w:rPr>
              <w:t>清晰合理</w:t>
            </w:r>
            <w:r>
              <w:rPr>
                <w:rFonts w:hint="eastAsia" w:ascii="仿宋_GB2312" w:eastAsia="仿宋_GB2312"/>
                <w:color w:val="000000" w:themeColor="text1"/>
                <w:kern w:val="0"/>
                <w:sz w:val="24"/>
                <w14:textFill>
                  <w14:solidFill>
                    <w14:schemeClr w14:val="tx1"/>
                  </w14:solidFill>
                </w14:textFill>
              </w:rPr>
              <w:t>的，得2分；</w:t>
            </w:r>
          </w:p>
          <w:p>
            <w:pPr>
              <w:snapToGrid w:val="0"/>
              <w:spacing w:line="288" w:lineRule="auto"/>
              <w:ind w:firstLine="480" w:firstLineChars="200"/>
              <w:textAlignment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3</w:t>
            </w:r>
            <w:r>
              <w:rPr>
                <w:rFonts w:ascii="仿宋_GB2312" w:eastAsia="仿宋_GB2312"/>
                <w:color w:val="000000" w:themeColor="text1"/>
                <w:kern w:val="0"/>
                <w:sz w:val="24"/>
                <w14:textFill>
                  <w14:solidFill>
                    <w14:schemeClr w14:val="tx1"/>
                  </w14:solidFill>
                </w14:textFill>
              </w:rPr>
              <w:t>.</w:t>
            </w:r>
            <w:r>
              <w:rPr>
                <w:rFonts w:hint="eastAsia" w:ascii="仿宋_GB2312" w:eastAsia="仿宋_GB2312"/>
                <w:color w:val="000000" w:themeColor="text1"/>
                <w:kern w:val="0"/>
                <w:sz w:val="24"/>
                <w14:textFill>
                  <w14:solidFill>
                    <w14:schemeClr w14:val="tx1"/>
                  </w14:solidFill>
                </w14:textFill>
              </w:rPr>
              <w:t>具有明确的培训教程和材料且科学可行的，得2分；</w:t>
            </w:r>
          </w:p>
          <w:p>
            <w:pPr>
              <w:snapToGrid w:val="0"/>
              <w:spacing w:line="288" w:lineRule="auto"/>
              <w:ind w:firstLine="480" w:firstLineChars="200"/>
              <w:textAlignment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4.未提供培训服务方案或提供内容与本项目不符的，不得分。</w:t>
            </w:r>
          </w:p>
        </w:tc>
        <w:tc>
          <w:tcPr>
            <w:tcW w:w="4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44" w:type="pct"/>
            <w:vMerge w:val="continue"/>
            <w:tcBorders>
              <w:left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p>
        </w:tc>
        <w:tc>
          <w:tcPr>
            <w:tcW w:w="668" w:type="pct"/>
            <w:tcBorders>
              <w:top w:val="single" w:color="auto" w:sz="4" w:space="0"/>
              <w:left w:val="single" w:color="auto" w:sz="4" w:space="0"/>
              <w:right w:val="single" w:color="auto" w:sz="4" w:space="0"/>
            </w:tcBorders>
            <w:vAlign w:val="center"/>
          </w:tcPr>
          <w:p>
            <w:pPr>
              <w:pStyle w:val="45"/>
              <w:snapToGrid w:val="0"/>
              <w:spacing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售后服务方案</w:t>
            </w:r>
          </w:p>
        </w:tc>
        <w:tc>
          <w:tcPr>
            <w:tcW w:w="3278" w:type="pct"/>
            <w:tcBorders>
              <w:top w:val="single" w:color="auto" w:sz="4" w:space="0"/>
              <w:left w:val="single" w:color="auto" w:sz="4" w:space="0"/>
              <w:bottom w:val="single" w:color="auto" w:sz="4" w:space="0"/>
              <w:right w:val="single" w:color="auto" w:sz="4" w:space="0"/>
            </w:tcBorders>
            <w:vAlign w:val="center"/>
          </w:tcPr>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售后服务方案包括但不限于售后服务保障体系、故障解决方案、专业技术人员保障及服务电话等内容，进行综合评分：</w:t>
            </w:r>
          </w:p>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1售后服务方案全面详实，完全满足服务需求的，得2分；</w:t>
            </w:r>
          </w:p>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2.</w:t>
            </w:r>
            <w:r>
              <w:rPr>
                <w:rFonts w:hint="eastAsia" w:ascii="仿宋_GB2312" w:eastAsia="仿宋_GB2312"/>
                <w:color w:val="000000" w:themeColor="text1"/>
                <w14:textFill>
                  <w14:solidFill>
                    <w14:schemeClr w14:val="tx1"/>
                  </w14:solidFill>
                </w14:textFill>
              </w:rPr>
              <w:t>具有明确的售后服务保障体系且内容清晰的，得2分；</w:t>
            </w:r>
          </w:p>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w:t>
            </w:r>
            <w:r>
              <w:rPr>
                <w:rFonts w:ascii="仿宋_GB2312" w:eastAsia="仿宋_GB2312"/>
                <w:color w:val="000000" w:themeColor="text1"/>
                <w14:textFill>
                  <w14:solidFill>
                    <w14:schemeClr w14:val="tx1"/>
                  </w14:solidFill>
                </w14:textFill>
              </w:rPr>
              <w:t>.</w:t>
            </w:r>
            <w:r>
              <w:rPr>
                <w:rFonts w:hint="eastAsia" w:ascii="仿宋_GB2312" w:eastAsia="仿宋_GB2312"/>
                <w:color w:val="000000" w:themeColor="text1"/>
                <w14:textFill>
                  <w14:solidFill>
                    <w14:schemeClr w14:val="tx1"/>
                  </w14:solidFill>
                </w14:textFill>
              </w:rPr>
              <w:t>具有明确的故障解决方案、专业技术人员保障及服务电话等内容且合理可行的，得2分；</w:t>
            </w:r>
          </w:p>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4.未提供售后服务方案或提供内容与本项目不符的，不得分。</w:t>
            </w:r>
          </w:p>
        </w:tc>
        <w:tc>
          <w:tcPr>
            <w:tcW w:w="4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44" w:type="pct"/>
            <w:vMerge w:val="restart"/>
            <w:tcBorders>
              <w:left w:val="single" w:color="auto" w:sz="4" w:space="0"/>
              <w:right w:val="single" w:color="auto" w:sz="4" w:space="0"/>
            </w:tcBorders>
            <w:vAlign w:val="center"/>
          </w:tcPr>
          <w:p>
            <w:pPr>
              <w:snapToGrid w:val="0"/>
              <w:spacing w:line="288"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商务部分（</w:t>
            </w:r>
            <w:r>
              <w:rPr>
                <w:rFonts w:hint="eastAsia" w:ascii="仿宋_GB2312" w:eastAsia="仿宋_GB2312"/>
                <w:color w:val="000000" w:themeColor="text1"/>
                <w:kern w:val="0"/>
                <w:sz w:val="24"/>
                <w14:textFill>
                  <w14:solidFill>
                    <w14:schemeClr w14:val="tx1"/>
                  </w14:solidFill>
                </w14:textFill>
              </w:rPr>
              <w:t>42</w:t>
            </w:r>
            <w:r>
              <w:rPr>
                <w:rFonts w:hint="eastAsia" w:ascii="仿宋_GB2312" w:hAnsi="仿宋_GB2312" w:eastAsia="仿宋_GB2312" w:cs="仿宋_GB2312"/>
                <w:color w:val="000000" w:themeColor="text1"/>
                <w:sz w:val="24"/>
                <w14:textFill>
                  <w14:solidFill>
                    <w14:schemeClr w14:val="tx1"/>
                  </w14:solidFill>
                </w14:textFill>
              </w:rPr>
              <w:t>分）</w:t>
            </w:r>
          </w:p>
        </w:tc>
        <w:tc>
          <w:tcPr>
            <w:tcW w:w="668"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项目经理</w:t>
            </w:r>
          </w:p>
        </w:tc>
        <w:tc>
          <w:tcPr>
            <w:tcW w:w="3278" w:type="pct"/>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ind w:firstLine="480" w:firstLineChars="200"/>
              <w:jc w:val="lef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评审内容：</w:t>
            </w:r>
            <w:r>
              <w:rPr>
                <w:rFonts w:hint="eastAsia" w:ascii="仿宋_GB2312" w:hAnsi="仿宋_GB2312" w:eastAsia="仿宋_GB2312" w:cs="仿宋_GB2312"/>
                <w:color w:val="000000" w:themeColor="text1"/>
                <w:sz w:val="24"/>
                <w:lang w:bidi="ar"/>
                <w14:textFill>
                  <w14:solidFill>
                    <w14:schemeClr w14:val="tx1"/>
                  </w14:solidFill>
                </w14:textFill>
              </w:rPr>
              <w:t>项目经理；</w:t>
            </w:r>
          </w:p>
          <w:p>
            <w:pPr>
              <w:widowControl/>
              <w:snapToGrid w:val="0"/>
              <w:spacing w:line="288" w:lineRule="auto"/>
              <w:ind w:firstLine="480" w:firstLineChars="200"/>
              <w:jc w:val="lef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评审标准：</w:t>
            </w:r>
          </w:p>
          <w:p>
            <w:pPr>
              <w:widowControl/>
              <w:snapToGrid w:val="0"/>
              <w:spacing w:line="288" w:lineRule="auto"/>
              <w:ind w:firstLine="480" w:firstLineChars="200"/>
              <w:jc w:val="left"/>
              <w:rPr>
                <w:rFonts w:ascii="仿宋_GB2312" w:hAnsi="仿宋_GB2312" w:eastAsia="仿宋_GB2312" w:cs="仿宋_GB2312"/>
                <w:color w:val="000000" w:themeColor="text1"/>
                <w:sz w:val="24"/>
                <w:lang w:bidi="ar"/>
                <w14:textFill>
                  <w14:solidFill>
                    <w14:schemeClr w14:val="tx1"/>
                  </w14:solidFill>
                </w14:textFill>
              </w:rPr>
            </w:pPr>
            <w:r>
              <w:rPr>
                <w:rFonts w:hint="eastAsia" w:ascii="仿宋_GB2312" w:hAnsi="仿宋" w:eastAsia="仿宋_GB2312"/>
                <w:strike w:val="0"/>
                <w:dstrike w:val="0"/>
                <w:color w:val="000000" w:themeColor="text1"/>
                <w:sz w:val="24"/>
                <w14:textFill>
                  <w14:solidFill>
                    <w14:schemeClr w14:val="tx1"/>
                  </w14:solidFill>
                </w14:textFill>
              </w:rPr>
              <w:t>1</w:t>
            </w:r>
            <w:r>
              <w:rPr>
                <w:rFonts w:ascii="仿宋_GB2312" w:hAnsi="仿宋" w:eastAsia="仿宋_GB2312"/>
                <w:strike w:val="0"/>
                <w:dstrike w:val="0"/>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lang w:bidi="ar"/>
                <w14:textFill>
                  <w14:solidFill>
                    <w14:schemeClr w14:val="tx1"/>
                  </w14:solidFill>
                </w14:textFill>
              </w:rPr>
              <w:t>项目经理符合以下要求（仅限一人）：</w:t>
            </w:r>
            <w:r>
              <w:rPr>
                <w:rFonts w:hint="eastAsia" w:ascii="仿宋_GB2312" w:hAnsi="仿宋_GB2312" w:eastAsia="仿宋_GB2312" w:cs="仿宋_GB2312"/>
                <w:color w:val="000000" w:themeColor="text1"/>
                <w:sz w:val="24"/>
                <w:lang w:bidi="ar"/>
                <w14:textFill>
                  <w14:solidFill>
                    <w14:schemeClr w14:val="tx1"/>
                  </w14:solidFill>
                </w14:textFill>
              </w:rPr>
              <w:br w:type="textWrapping"/>
            </w:r>
            <w:r>
              <w:rPr>
                <w:rFonts w:hint="eastAsia" w:ascii="仿宋_GB2312" w:hAnsi="仿宋_GB2312" w:eastAsia="仿宋_GB2312" w:cs="仿宋_GB2312"/>
                <w:color w:val="000000" w:themeColor="text1"/>
                <w:sz w:val="24"/>
                <w:lang w:bidi="ar"/>
                <w14:textFill>
                  <w14:solidFill>
                    <w14:schemeClr w14:val="tx1"/>
                  </w14:solidFill>
                </w14:textFill>
              </w:rPr>
              <w:t xml:space="preserve">    具有相关专业硕士及以上学历，得1分；</w:t>
            </w:r>
          </w:p>
          <w:p>
            <w:pPr>
              <w:widowControl/>
              <w:snapToGrid w:val="0"/>
              <w:spacing w:line="288" w:lineRule="auto"/>
              <w:ind w:firstLine="480" w:firstLineChars="200"/>
              <w:jc w:val="left"/>
              <w:rPr>
                <w:rFonts w:ascii="仿宋_GB2312" w:hAnsi="仿宋_GB2312" w:eastAsia="仿宋_GB2312" w:cs="仿宋_GB2312"/>
                <w:color w:val="000000" w:themeColor="text1"/>
                <w:sz w:val="24"/>
                <w:lang w:bidi="ar"/>
                <w14:textFill>
                  <w14:solidFill>
                    <w14:schemeClr w14:val="tx1"/>
                  </w14:solidFill>
                </w14:textFill>
              </w:rPr>
            </w:pPr>
            <w:r>
              <w:rPr>
                <w:rFonts w:hint="eastAsia" w:ascii="仿宋_GB2312" w:hAnsi="仿宋_GB2312" w:eastAsia="仿宋_GB2312" w:cs="仿宋_GB2312"/>
                <w:color w:val="000000" w:themeColor="text1"/>
                <w:sz w:val="24"/>
                <w:lang w:bidi="ar"/>
                <w14:textFill>
                  <w14:solidFill>
                    <w14:schemeClr w14:val="tx1"/>
                  </w14:solidFill>
                </w14:textFill>
              </w:rPr>
              <w:t>具有高级信息系统项目管理师证书，得1分；</w:t>
            </w:r>
          </w:p>
          <w:p>
            <w:pPr>
              <w:widowControl/>
              <w:snapToGrid w:val="0"/>
              <w:spacing w:line="288" w:lineRule="auto"/>
              <w:ind w:firstLine="480" w:firstLineChars="200"/>
              <w:jc w:val="left"/>
              <w:rPr>
                <w:rFonts w:ascii="仿宋_GB2312" w:hAnsi="仿宋_GB2312" w:eastAsia="仿宋_GB2312" w:cs="仿宋_GB2312"/>
                <w:color w:val="000000" w:themeColor="text1"/>
                <w:sz w:val="24"/>
                <w:lang w:bidi="ar"/>
                <w14:textFill>
                  <w14:solidFill>
                    <w14:schemeClr w14:val="tx1"/>
                  </w14:solidFill>
                </w14:textFill>
              </w:rPr>
            </w:pPr>
            <w:r>
              <w:rPr>
                <w:rFonts w:hint="eastAsia" w:ascii="仿宋_GB2312" w:hAnsi="仿宋_GB2312" w:eastAsia="仿宋_GB2312" w:cs="仿宋_GB2312"/>
                <w:color w:val="000000" w:themeColor="text1"/>
                <w:sz w:val="24"/>
                <w:lang w:bidi="ar"/>
                <w14:textFill>
                  <w14:solidFill>
                    <w14:schemeClr w14:val="tx1"/>
                  </w14:solidFill>
                </w14:textFill>
              </w:rPr>
              <w:t>具有建筑行业或市政行业注册资格证书，得1分；</w:t>
            </w:r>
          </w:p>
          <w:p>
            <w:pPr>
              <w:widowControl/>
              <w:snapToGrid w:val="0"/>
              <w:spacing w:line="288" w:lineRule="auto"/>
              <w:ind w:firstLine="480" w:firstLineChars="200"/>
              <w:jc w:val="left"/>
              <w:rPr>
                <w:rFonts w:ascii="仿宋_GB2312" w:hAnsi="仿宋_GB2312" w:eastAsia="仿宋_GB2312" w:cs="仿宋_GB2312"/>
                <w:color w:val="000000" w:themeColor="text1"/>
                <w:sz w:val="24"/>
                <w:lang w:bidi="ar"/>
                <w14:textFill>
                  <w14:solidFill>
                    <w14:schemeClr w14:val="tx1"/>
                  </w14:solidFill>
                </w14:textFill>
              </w:rPr>
            </w:pPr>
            <w:r>
              <w:rPr>
                <w:rFonts w:hint="eastAsia" w:ascii="仿宋_GB2312" w:hAnsi="仿宋_GB2312" w:eastAsia="仿宋_GB2312" w:cs="仿宋_GB2312"/>
                <w:color w:val="000000" w:themeColor="text1"/>
                <w:sz w:val="24"/>
                <w:lang w:bidi="ar"/>
                <w14:textFill>
                  <w14:solidFill>
                    <w14:schemeClr w14:val="tx1"/>
                  </w14:solidFill>
                </w14:textFill>
              </w:rPr>
              <w:t>未提供不得分。</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注：以上须提供身份证复印件、相关证书复印件、以及开标前6个月内任意一月投标人为拟派人员缴纳社保的证明材料复印件加盖投标人公章。</w:t>
            </w:r>
          </w:p>
          <w:p>
            <w:pPr>
              <w:widowControl/>
              <w:snapToGrid w:val="0"/>
              <w:spacing w:line="288" w:lineRule="auto"/>
              <w:ind w:firstLine="480" w:firstLineChars="200"/>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2</w:t>
            </w:r>
            <w:r>
              <w:rPr>
                <w:rFonts w:ascii="仿宋_GB2312" w:eastAsia="仿宋_GB2312"/>
                <w:color w:val="000000" w:themeColor="text1"/>
                <w:kern w:val="0"/>
                <w:sz w:val="24"/>
                <w14:textFill>
                  <w14:solidFill>
                    <w14:schemeClr w14:val="tx1"/>
                  </w14:solidFill>
                </w14:textFill>
              </w:rPr>
              <w:t>.</w:t>
            </w:r>
            <w:r>
              <w:rPr>
                <w:rFonts w:hint="eastAsia" w:ascii="仿宋_GB2312" w:eastAsia="仿宋_GB2312"/>
                <w:color w:val="000000" w:themeColor="text1"/>
                <w:kern w:val="0"/>
                <w:sz w:val="24"/>
                <w14:textFill>
                  <w14:solidFill>
                    <w14:schemeClr w14:val="tx1"/>
                  </w14:solidFill>
                </w14:textFill>
              </w:rPr>
              <w:t>自2018年1月1日至今，项目经理承担过城市信息模型(CIM）基础平台建设项目的，每提供1个得1分，最多得5分。</w:t>
            </w:r>
          </w:p>
          <w:p>
            <w:pPr>
              <w:widowControl/>
              <w:snapToGrid w:val="0"/>
              <w:spacing w:line="288" w:lineRule="auto"/>
              <w:ind w:firstLine="480" w:firstLineChars="200"/>
              <w:rPr>
                <w:rFonts w:ascii="仿宋_GB2312" w:hAnsi="仿宋_GB2312" w:eastAsia="仿宋_GB2312" w:cs="仿宋_GB2312"/>
                <w:color w:val="000000" w:themeColor="text1"/>
                <w:sz w:val="24"/>
                <w:lang w:bidi="ar"/>
                <w14:textFill>
                  <w14:solidFill>
                    <w14:schemeClr w14:val="tx1"/>
                  </w14:solidFill>
                </w14:textFill>
              </w:rPr>
            </w:pPr>
            <w:r>
              <w:rPr>
                <w:rFonts w:hint="eastAsia" w:ascii="仿宋_GB2312" w:eastAsia="仿宋_GB2312"/>
                <w:b/>
                <w:bCs/>
                <w:color w:val="000000" w:themeColor="text1"/>
                <w:kern w:val="0"/>
                <w:sz w:val="24"/>
                <w14:textFill>
                  <w14:solidFill>
                    <w14:schemeClr w14:val="tx1"/>
                  </w14:solidFill>
                </w14:textFill>
              </w:rPr>
              <w:t>注：</w:t>
            </w:r>
            <w:r>
              <w:rPr>
                <w:rFonts w:hint="eastAsia" w:ascii="仿宋_GB2312" w:hAnsi="仿宋_GB2312" w:eastAsia="仿宋_GB2312" w:cs="仿宋_GB2312"/>
                <w:b/>
                <w:bCs/>
                <w:color w:val="000000" w:themeColor="text1"/>
                <w:kern w:val="0"/>
                <w:sz w:val="24"/>
                <w14:textFill>
                  <w14:solidFill>
                    <w14:schemeClr w14:val="tx1"/>
                  </w14:solidFill>
                </w14:textFill>
              </w:rPr>
              <w:t>以上须</w:t>
            </w:r>
            <w:r>
              <w:rPr>
                <w:rFonts w:hint="eastAsia" w:ascii="仿宋_GB2312" w:eastAsia="仿宋_GB2312"/>
                <w:b/>
                <w:bCs/>
                <w:color w:val="000000" w:themeColor="text1"/>
                <w:kern w:val="0"/>
                <w:sz w:val="24"/>
                <w14:textFill>
                  <w14:solidFill>
                    <w14:schemeClr w14:val="tx1"/>
                  </w14:solidFill>
                </w14:textFill>
              </w:rPr>
              <w:t>提供合同复印件（合同中须体现项目经理姓名，若合同中未体现的需要提供业主盖章的证明材料）、中标通知书复印件加盖投标人公章，业绩时间以合同签订时间为准。</w:t>
            </w:r>
          </w:p>
        </w:tc>
        <w:tc>
          <w:tcPr>
            <w:tcW w:w="407"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pct"/>
            <w:vMerge w:val="continue"/>
            <w:tcBorders>
              <w:left w:val="single" w:color="auto" w:sz="4" w:space="0"/>
              <w:right w:val="single" w:color="auto" w:sz="4" w:space="0"/>
            </w:tcBorders>
            <w:vAlign w:val="center"/>
          </w:tcPr>
          <w:p>
            <w:pPr>
              <w:spacing w:line="288" w:lineRule="auto"/>
              <w:jc w:val="center"/>
              <w:rPr>
                <w:rFonts w:ascii="仿宋_GB2312" w:hAnsi="仿宋_GB2312" w:eastAsia="仿宋_GB2312" w:cs="仿宋_GB2312"/>
                <w:color w:val="000000" w:themeColor="text1"/>
                <w:sz w:val="24"/>
                <w14:textFill>
                  <w14:solidFill>
                    <w14:schemeClr w14:val="tx1"/>
                  </w14:solidFill>
                </w14:textFill>
              </w:rPr>
            </w:pPr>
          </w:p>
        </w:tc>
        <w:tc>
          <w:tcPr>
            <w:tcW w:w="668"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项目技术负责人</w:t>
            </w:r>
          </w:p>
        </w:tc>
        <w:tc>
          <w:tcPr>
            <w:tcW w:w="3278" w:type="pct"/>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ind w:firstLine="480" w:firstLineChars="200"/>
              <w:jc w:val="lef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评审内容：</w:t>
            </w:r>
            <w:r>
              <w:rPr>
                <w:rFonts w:hint="eastAsia" w:ascii="仿宋_GB2312" w:eastAsia="仿宋_GB2312"/>
                <w:color w:val="000000" w:themeColor="text1"/>
                <w:kern w:val="0"/>
                <w:sz w:val="24"/>
                <w14:textFill>
                  <w14:solidFill>
                    <w14:schemeClr w14:val="tx1"/>
                  </w14:solidFill>
                </w14:textFill>
              </w:rPr>
              <w:t>项目技术负责人；</w:t>
            </w:r>
          </w:p>
          <w:p>
            <w:pPr>
              <w:widowControl/>
              <w:snapToGrid w:val="0"/>
              <w:spacing w:line="288" w:lineRule="auto"/>
              <w:ind w:firstLine="480" w:firstLineChars="200"/>
              <w:rPr>
                <w:rFonts w:ascii="仿宋_GB2312" w:eastAsia="仿宋_GB2312"/>
                <w:color w:val="000000" w:themeColor="text1"/>
                <w:kern w:val="0"/>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评审标准：</w:t>
            </w:r>
            <w:r>
              <w:rPr>
                <w:rFonts w:hint="eastAsia" w:ascii="仿宋_GB2312" w:eastAsia="仿宋_GB2312"/>
                <w:color w:val="000000" w:themeColor="text1"/>
                <w:kern w:val="0"/>
                <w:sz w:val="24"/>
                <w14:textFill>
                  <w14:solidFill>
                    <w14:schemeClr w14:val="tx1"/>
                  </w14:solidFill>
                </w14:textFill>
              </w:rPr>
              <w:t>项目技术负责人（仅限一人）：</w:t>
            </w:r>
          </w:p>
          <w:p>
            <w:pPr>
              <w:widowControl/>
              <w:snapToGrid w:val="0"/>
              <w:spacing w:line="288" w:lineRule="auto"/>
              <w:ind w:firstLine="480" w:firstLineChars="200"/>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具有相关专业硕士及以上学历，得1分；</w:t>
            </w:r>
          </w:p>
          <w:p>
            <w:pPr>
              <w:widowControl/>
              <w:snapToGrid w:val="0"/>
              <w:spacing w:line="288" w:lineRule="auto"/>
              <w:ind w:firstLine="480" w:firstLineChars="200"/>
              <w:rPr>
                <w:rFonts w:ascii="仿宋_GB2312" w:eastAsia="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sz w:val="24"/>
                <w:lang w:bidi="ar"/>
                <w14:textFill>
                  <w14:solidFill>
                    <w14:schemeClr w14:val="tx1"/>
                  </w14:solidFill>
                </w14:textFill>
              </w:rPr>
              <w:t>具有高级信息系统项目管理师证书，得1分；</w:t>
            </w:r>
          </w:p>
          <w:p>
            <w:pPr>
              <w:widowControl/>
              <w:snapToGrid w:val="0"/>
              <w:spacing w:line="288" w:lineRule="auto"/>
              <w:ind w:firstLine="480" w:firstLineChars="200"/>
              <w:rPr>
                <w:rFonts w:ascii="仿宋_GB2312" w:eastAsia="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sz w:val="24"/>
                <w:lang w:bidi="ar"/>
                <w14:textFill>
                  <w14:solidFill>
                    <w14:schemeClr w14:val="tx1"/>
                  </w14:solidFill>
                </w14:textFill>
              </w:rPr>
              <w:t>具有注册测绘师或城乡规划师资格证书，得1分；</w:t>
            </w:r>
          </w:p>
          <w:p>
            <w:pPr>
              <w:widowControl/>
              <w:snapToGrid w:val="0"/>
              <w:spacing w:line="288" w:lineRule="auto"/>
              <w:ind w:firstLine="480" w:firstLineChars="200"/>
              <w:rPr>
                <w:rFonts w:ascii="仿宋_GB2312" w:hAnsi="仿宋_GB2312" w:eastAsia="仿宋_GB2312" w:cs="仿宋_GB2312"/>
                <w:color w:val="000000" w:themeColor="text1"/>
                <w:sz w:val="24"/>
                <w:lang w:bidi="ar"/>
                <w14:textFill>
                  <w14:solidFill>
                    <w14:schemeClr w14:val="tx1"/>
                  </w14:solidFill>
                </w14:textFill>
              </w:rPr>
            </w:pPr>
            <w:r>
              <w:rPr>
                <w:rFonts w:hint="eastAsia" w:ascii="仿宋_GB2312" w:hAnsi="仿宋_GB2312" w:eastAsia="仿宋_GB2312" w:cs="仿宋_GB2312"/>
                <w:color w:val="000000" w:themeColor="text1"/>
                <w:sz w:val="24"/>
                <w:lang w:bidi="ar"/>
                <w14:textFill>
                  <w14:solidFill>
                    <w14:schemeClr w14:val="tx1"/>
                  </w14:solidFill>
                </w14:textFill>
              </w:rPr>
              <w:t>具有建筑行业或市政行业注册资格证书，得1分；</w:t>
            </w:r>
          </w:p>
          <w:p>
            <w:pPr>
              <w:widowControl/>
              <w:snapToGrid w:val="0"/>
              <w:spacing w:line="288" w:lineRule="auto"/>
              <w:ind w:firstLine="480" w:firstLineChars="200"/>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未提供不得分。</w:t>
            </w:r>
          </w:p>
          <w:p>
            <w:pPr>
              <w:widowControl/>
              <w:snapToGrid w:val="0"/>
              <w:spacing w:line="288" w:lineRule="auto"/>
              <w:ind w:firstLine="480" w:firstLineChars="200"/>
              <w:rPr>
                <w:rFonts w:ascii="仿宋_GB2312" w:eastAsia="仿宋_GB2312"/>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注：以上须提供身份证复印件、相关证书复印件、以及开标前6个月内任意一月投标人为拟派人员缴纳社保的证明材料复印件加盖投标人公章。</w:t>
            </w:r>
          </w:p>
        </w:tc>
        <w:tc>
          <w:tcPr>
            <w:tcW w:w="407"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44" w:type="pct"/>
            <w:vMerge w:val="continue"/>
            <w:tcBorders>
              <w:left w:val="single" w:color="auto" w:sz="4" w:space="0"/>
              <w:right w:val="single" w:color="auto" w:sz="4" w:space="0"/>
            </w:tcBorders>
            <w:vAlign w:val="center"/>
          </w:tcPr>
          <w:p>
            <w:pPr>
              <w:spacing w:line="288" w:lineRule="auto"/>
              <w:jc w:val="center"/>
              <w:rPr>
                <w:rFonts w:ascii="仿宋_GB2312" w:hAnsi="仿宋_GB2312" w:eastAsia="仿宋_GB2312" w:cs="仿宋_GB2312"/>
                <w:color w:val="000000" w:themeColor="text1"/>
                <w:sz w:val="24"/>
                <w14:textFill>
                  <w14:solidFill>
                    <w14:schemeClr w14:val="tx1"/>
                  </w14:solidFill>
                </w14:textFill>
              </w:rPr>
            </w:pPr>
          </w:p>
        </w:tc>
        <w:tc>
          <w:tcPr>
            <w:tcW w:w="668" w:type="pct"/>
            <w:tcBorders>
              <w:top w:val="single" w:color="auto" w:sz="4" w:space="0"/>
              <w:left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项目组成员</w:t>
            </w:r>
          </w:p>
        </w:tc>
        <w:tc>
          <w:tcPr>
            <w:tcW w:w="3278" w:type="pct"/>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ind w:firstLine="480" w:firstLineChars="200"/>
              <w:jc w:val="lef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评审内容：项目组成员；</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评审标准：</w:t>
            </w:r>
            <w:r>
              <w:rPr>
                <w:rFonts w:hint="eastAsia" w:ascii="仿宋_GB2312" w:hAnsi="仿宋_GB2312" w:eastAsia="仿宋_GB2312" w:cs="仿宋_GB2312"/>
                <w:color w:val="000000" w:themeColor="text1"/>
                <w:kern w:val="0"/>
                <w:sz w:val="24"/>
                <w14:textFill>
                  <w14:solidFill>
                    <w14:schemeClr w14:val="tx1"/>
                  </w14:solidFill>
                </w14:textFill>
              </w:rPr>
              <w:t>除项目经理和项目技术负责人外，项目组应配备完备的各类专业技术人员。</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项目团队中具有系统分析师证书，每个得0.5分，最高1分，未提供不得分。</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项目团队中具有软考高级信息系统项目管理师证书，每个得0.5分，最高1分，未提供不得分。</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项目团队中具有数据库认证工程师(OCP) 证书，每个得0.5分，最高1分，未提供不得分。</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4</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项目团队中具有一级注册建筑师证书，每个得0.5分，最高1分，未提供不得分。</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5</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项目团队中具有注册城乡规划师证书，每个得0.5分，最高1分，未提供不得分。</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6</w:t>
            </w:r>
            <w:r>
              <w:rPr>
                <w:rFonts w:ascii="仿宋_GB2312" w:eastAsia="仿宋_GB2312"/>
                <w:color w:val="000000" w:themeColor="text1"/>
                <w:kern w:val="0"/>
                <w:sz w:val="24"/>
                <w14:textFill>
                  <w14:solidFill>
                    <w14:schemeClr w14:val="tx1"/>
                  </w14:solidFill>
                </w14:textFill>
              </w:rPr>
              <w:t>.</w:t>
            </w:r>
            <w:r>
              <w:rPr>
                <w:rFonts w:hint="eastAsia" w:ascii="仿宋_GB2312" w:eastAsia="仿宋_GB2312"/>
                <w:color w:val="000000" w:themeColor="text1"/>
                <w:kern w:val="0"/>
                <w:sz w:val="24"/>
                <w14:textFill>
                  <w14:solidFill>
                    <w14:schemeClr w14:val="tx1"/>
                  </w14:solidFill>
                </w14:textFill>
              </w:rPr>
              <w:t>项目团队中具有建筑行业或市政行业高级工程师证书，</w:t>
            </w:r>
            <w:r>
              <w:rPr>
                <w:rFonts w:hint="eastAsia" w:ascii="仿宋_GB2312" w:hAnsi="仿宋_GB2312" w:eastAsia="仿宋_GB2312" w:cs="仿宋_GB2312"/>
                <w:color w:val="000000" w:themeColor="text1"/>
                <w:kern w:val="0"/>
                <w:sz w:val="24"/>
                <w14:textFill>
                  <w14:solidFill>
                    <w14:schemeClr w14:val="tx1"/>
                  </w14:solidFill>
                </w14:textFill>
              </w:rPr>
              <w:t>每5个得0.5分，最高得1分，未提供不得分。</w:t>
            </w:r>
            <w:r>
              <w:rPr>
                <w:rFonts w:hint="eastAsia" w:ascii="仿宋_GB2312" w:eastAsia="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7</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项目团队中具有地理信息安全保密培训合格证明，提供5个及以上得1分，其余不得分。</w:t>
            </w:r>
          </w:p>
          <w:p>
            <w:pPr>
              <w:widowControl/>
              <w:snapToGrid w:val="0"/>
              <w:spacing w:line="288" w:lineRule="auto"/>
              <w:ind w:firstLine="480" w:firstLineChars="200"/>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注：（1）以上人员须提供身份证复印件、相关证书复印件、以及开标前6个月内任意一月投标人为拟派人员缴纳社保的证明材料复印件加盖投标人公章。</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sz w:val="24"/>
                <w:lang w:bidi="ar"/>
                <w14:textFill>
                  <w14:solidFill>
                    <w14:schemeClr w14:val="tx1"/>
                  </w14:solidFill>
                </w14:textFill>
              </w:rPr>
              <w:t>（2）项目组成员中同一人员具备多个证书的，仅计算一次。</w:t>
            </w:r>
          </w:p>
        </w:tc>
        <w:tc>
          <w:tcPr>
            <w:tcW w:w="407"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44" w:type="pct"/>
            <w:vMerge w:val="continue"/>
            <w:tcBorders>
              <w:left w:val="single" w:color="auto" w:sz="4" w:space="0"/>
              <w:right w:val="single" w:color="auto" w:sz="4" w:space="0"/>
            </w:tcBorders>
            <w:vAlign w:val="center"/>
          </w:tcPr>
          <w:p>
            <w:pPr>
              <w:spacing w:line="288" w:lineRule="auto"/>
              <w:jc w:val="center"/>
              <w:rPr>
                <w:rFonts w:ascii="仿宋_GB2312" w:hAnsi="仿宋_GB2312" w:eastAsia="仿宋_GB2312" w:cs="仿宋_GB2312"/>
                <w:color w:val="000000" w:themeColor="text1"/>
                <w:sz w:val="24"/>
                <w14:textFill>
                  <w14:solidFill>
                    <w14:schemeClr w14:val="tx1"/>
                  </w14:solidFill>
                </w14:textFill>
              </w:rPr>
            </w:pPr>
          </w:p>
        </w:tc>
        <w:tc>
          <w:tcPr>
            <w:tcW w:w="668"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软件著作权登记证书</w:t>
            </w:r>
          </w:p>
        </w:tc>
        <w:tc>
          <w:tcPr>
            <w:tcW w:w="3278" w:type="pct"/>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ind w:firstLine="480" w:firstLineChars="200"/>
              <w:jc w:val="lef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评审内容：软件著作权登记证书；</w:t>
            </w:r>
          </w:p>
          <w:p>
            <w:pPr>
              <w:widowControl/>
              <w:snapToGrid w:val="0"/>
              <w:spacing w:line="288" w:lineRule="auto"/>
              <w:ind w:firstLine="480" w:firstLineChars="200"/>
              <w:jc w:val="left"/>
              <w:rPr>
                <w:rFonts w:ascii="宋体" w:hAnsi="宋体" w:eastAsia="宋体" w:cs="宋体"/>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评审标准：</w:t>
            </w:r>
            <w:r>
              <w:rPr>
                <w:rFonts w:hint="eastAsia" w:ascii="仿宋_GB2312" w:hAnsi="仿宋_GB2312" w:eastAsia="仿宋_GB2312" w:cs="仿宋_GB2312"/>
                <w:color w:val="000000" w:themeColor="text1"/>
                <w:kern w:val="0"/>
                <w:sz w:val="24"/>
                <w:lang w:bidi="ar"/>
                <w14:textFill>
                  <w14:solidFill>
                    <w14:schemeClr w14:val="tx1"/>
                  </w14:solidFill>
                </w14:textFill>
              </w:rPr>
              <w:t>投标人具有计算机软件著作权登记证书（包括但不限于多源数据融合、GIS管理、三维地理信息、城市信息模型、BIM相关平台），每提供一类证书得1分，满分为5分，未提供不得分。</w:t>
            </w:r>
          </w:p>
          <w:p>
            <w:pPr>
              <w:widowControl/>
              <w:snapToGrid w:val="0"/>
              <w:spacing w:line="288" w:lineRule="auto"/>
              <w:ind w:firstLine="480" w:firstLineChars="200"/>
              <w:jc w:val="left"/>
              <w:rPr>
                <w:rFonts w:ascii="宋体" w:hAnsi="宋体" w:eastAsia="宋体" w:cs="宋体"/>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注：以上须提供国家版权局颁发的软件著作权登记证书复印件加盖投标人公章。</w:t>
            </w:r>
          </w:p>
        </w:tc>
        <w:tc>
          <w:tcPr>
            <w:tcW w:w="407"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44" w:type="pct"/>
            <w:vMerge w:val="continue"/>
            <w:tcBorders>
              <w:left w:val="single" w:color="auto" w:sz="4" w:space="0"/>
              <w:right w:val="single" w:color="auto" w:sz="4" w:space="0"/>
            </w:tcBorders>
            <w:vAlign w:val="center"/>
          </w:tcPr>
          <w:p>
            <w:pPr>
              <w:spacing w:line="288" w:lineRule="auto"/>
              <w:jc w:val="center"/>
              <w:rPr>
                <w:rFonts w:ascii="仿宋_GB2312" w:hAnsi="仿宋_GB2312" w:eastAsia="仿宋_GB2312" w:cs="仿宋_GB2312"/>
                <w:color w:val="000000" w:themeColor="text1"/>
                <w:sz w:val="24"/>
                <w14:textFill>
                  <w14:solidFill>
                    <w14:schemeClr w14:val="tx1"/>
                  </w14:solidFill>
                </w14:textFill>
              </w:rPr>
            </w:pPr>
          </w:p>
        </w:tc>
        <w:tc>
          <w:tcPr>
            <w:tcW w:w="668"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企业状况</w:t>
            </w:r>
          </w:p>
        </w:tc>
        <w:tc>
          <w:tcPr>
            <w:tcW w:w="3278" w:type="pct"/>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ind w:firstLine="480" w:firstLineChars="200"/>
              <w:jc w:val="lef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评审内容：企业状况；</w:t>
            </w:r>
          </w:p>
          <w:p>
            <w:pPr>
              <w:widowControl/>
              <w:snapToGrid w:val="0"/>
              <w:spacing w:line="288" w:lineRule="auto"/>
              <w:ind w:firstLine="480" w:firstLineChars="20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评审标准：</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1.投标人具有有效期内质量管理体系认证证书，得1分。</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2.投标人具有有效期内职业健康安全管理体系认证证书，得1分。</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w:t>
            </w:r>
            <w:r>
              <w:rPr>
                <w:rFonts w:ascii="仿宋_GB2312" w:hAnsi="仿宋_GB2312" w:eastAsia="仿宋_GB2312" w:cs="仿宋_GB2312"/>
                <w:color w:val="000000" w:themeColor="text1"/>
                <w:kern w:val="0"/>
                <w:sz w:val="24"/>
                <w:lang w:bidi="ar"/>
                <w14:textFill>
                  <w14:solidFill>
                    <w14:schemeClr w14:val="tx1"/>
                  </w14:solidFill>
                </w14:textFill>
              </w:rPr>
              <w:t>投标人具有</w:t>
            </w:r>
            <w:r>
              <w:rPr>
                <w:rFonts w:hint="eastAsia" w:ascii="仿宋_GB2312" w:hAnsi="仿宋_GB2312" w:eastAsia="仿宋_GB2312" w:cs="仿宋_GB2312"/>
                <w:color w:val="000000" w:themeColor="text1"/>
                <w:kern w:val="0"/>
                <w:sz w:val="24"/>
                <w:lang w:bidi="ar"/>
                <w14:textFill>
                  <w14:solidFill>
                    <w14:schemeClr w14:val="tx1"/>
                  </w14:solidFill>
                </w14:textFill>
              </w:rPr>
              <w:t>有效期内</w:t>
            </w:r>
            <w:r>
              <w:rPr>
                <w:rFonts w:ascii="仿宋_GB2312" w:hAnsi="仿宋_GB2312" w:eastAsia="仿宋_GB2312" w:cs="仿宋_GB2312"/>
                <w:color w:val="000000" w:themeColor="text1"/>
                <w:kern w:val="0"/>
                <w:sz w:val="24"/>
                <w:lang w:bidi="ar"/>
                <w14:textFill>
                  <w14:solidFill>
                    <w14:schemeClr w14:val="tx1"/>
                  </w14:solidFill>
                </w14:textFill>
              </w:rPr>
              <w:t>信息安全管理体系认证证书，得</w:t>
            </w:r>
            <w:r>
              <w:rPr>
                <w:rFonts w:hint="eastAsia" w:ascii="仿宋_GB2312" w:hAnsi="仿宋_GB2312" w:eastAsia="仿宋_GB2312" w:cs="仿宋_GB2312"/>
                <w:color w:val="000000" w:themeColor="text1"/>
                <w:kern w:val="0"/>
                <w:sz w:val="24"/>
                <w:lang w:bidi="ar"/>
                <w14:textFill>
                  <w14:solidFill>
                    <w14:schemeClr w14:val="tx1"/>
                  </w14:solidFill>
                </w14:textFill>
              </w:rPr>
              <w:t>1</w:t>
            </w:r>
            <w:r>
              <w:rPr>
                <w:rFonts w:ascii="仿宋_GB2312" w:hAnsi="仿宋_GB2312" w:eastAsia="仿宋_GB2312" w:cs="仿宋_GB2312"/>
                <w:color w:val="000000" w:themeColor="text1"/>
                <w:kern w:val="0"/>
                <w:sz w:val="24"/>
                <w:lang w:bidi="ar"/>
                <w14:textFill>
                  <w14:solidFill>
                    <w14:schemeClr w14:val="tx1"/>
                  </w14:solidFill>
                </w14:textFill>
              </w:rPr>
              <w:t>分。</w:t>
            </w:r>
          </w:p>
          <w:p>
            <w:pPr>
              <w:widowControl/>
              <w:snapToGrid w:val="0"/>
              <w:spacing w:line="288" w:lineRule="auto"/>
              <w:ind w:firstLine="480" w:firstLineChars="200"/>
              <w:jc w:val="left"/>
              <w:rPr>
                <w:rFonts w:ascii="仿宋_GB2312" w:hAnsi="仿宋_GB2312" w:eastAsia="仿宋_GB2312" w:cs="仿宋_GB2312"/>
                <w:b/>
                <w:bCs/>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4.投标人具有工程设计综合资质甲级或建筑行业或专业工程（建筑工程）设计甲级资质，得2分；建筑行业或专业工程（建筑工程）设计乙级资质，得1分；其余不得分。</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bCs/>
                <w:color w:val="000000" w:themeColor="text1"/>
                <w:kern w:val="0"/>
                <w:sz w:val="24"/>
                <w:lang w:bidi="ar"/>
                <w14:textFill>
                  <w14:solidFill>
                    <w14:schemeClr w14:val="tx1"/>
                  </w14:solidFill>
                </w14:textFill>
              </w:rPr>
              <w:t>5</w:t>
            </w:r>
            <w:r>
              <w:rPr>
                <w:rFonts w:ascii="仿宋_GB2312" w:hAnsi="仿宋_GB2312" w:eastAsia="仿宋_GB2312" w:cs="仿宋_GB2312"/>
                <w:bCs/>
                <w:color w:val="000000" w:themeColor="text1"/>
                <w:kern w:val="0"/>
                <w:sz w:val="24"/>
                <w:lang w:bidi="ar"/>
                <w14:textFill>
                  <w14:solidFill>
                    <w14:schemeClr w14:val="tx1"/>
                  </w14:solidFill>
                </w14:textFill>
              </w:rPr>
              <w:t>.</w:t>
            </w:r>
            <w:r>
              <w:rPr>
                <w:rFonts w:hint="eastAsia" w:ascii="仿宋_GB2312" w:hAnsi="仿宋_GB2312" w:eastAsia="仿宋_GB2312" w:cs="仿宋_GB2312"/>
                <w:bCs/>
                <w:color w:val="000000" w:themeColor="text1"/>
                <w:kern w:val="0"/>
                <w:sz w:val="24"/>
                <w:lang w:bidi="ar"/>
                <w14:textFill>
                  <w14:solidFill>
                    <w14:schemeClr w14:val="tx1"/>
                  </w14:solidFill>
                </w14:textFill>
              </w:rPr>
              <w:t>投标人具有市政</w:t>
            </w:r>
            <w:r>
              <w:rPr>
                <w:rFonts w:hint="eastAsia" w:ascii="仿宋_GB2312" w:hAnsi="仿宋_GB2312" w:eastAsia="仿宋_GB2312" w:cs="仿宋_GB2312"/>
                <w:color w:val="000000" w:themeColor="text1"/>
                <w:kern w:val="0"/>
                <w:sz w:val="24"/>
                <w:lang w:bidi="ar"/>
                <w14:textFill>
                  <w14:solidFill>
                    <w14:schemeClr w14:val="tx1"/>
                  </w14:solidFill>
                </w14:textFill>
              </w:rPr>
              <w:t>行业工程设计甲级资质，得2分；</w:t>
            </w:r>
            <w:r>
              <w:rPr>
                <w:rFonts w:hint="eastAsia" w:ascii="仿宋_GB2312" w:hAnsi="仿宋_GB2312" w:eastAsia="仿宋_GB2312" w:cs="仿宋_GB2312"/>
                <w:bCs/>
                <w:color w:val="000000" w:themeColor="text1"/>
                <w:kern w:val="0"/>
                <w:sz w:val="24"/>
                <w:lang w:bidi="ar"/>
                <w14:textFill>
                  <w14:solidFill>
                    <w14:schemeClr w14:val="tx1"/>
                  </w14:solidFill>
                </w14:textFill>
              </w:rPr>
              <w:t>市政</w:t>
            </w:r>
            <w:r>
              <w:rPr>
                <w:rFonts w:hint="eastAsia" w:ascii="仿宋_GB2312" w:hAnsi="仿宋_GB2312" w:eastAsia="仿宋_GB2312" w:cs="仿宋_GB2312"/>
                <w:color w:val="000000" w:themeColor="text1"/>
                <w:kern w:val="0"/>
                <w:sz w:val="24"/>
                <w:lang w:bidi="ar"/>
                <w14:textFill>
                  <w14:solidFill>
                    <w14:schemeClr w14:val="tx1"/>
                  </w14:solidFill>
                </w14:textFill>
              </w:rPr>
              <w:t>行业工程设计乙级资质，得1分；其余不得分。</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6.投标人具有测绘或城乡规划甲级资质，得2分；乙级资质，得1分；其余不得分。</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7.投标人具有软件成熟度CMMI5级或CMMI4级，得2分；其余不得分。</w:t>
            </w:r>
          </w:p>
          <w:p>
            <w:pPr>
              <w:widowControl/>
              <w:snapToGrid w:val="0"/>
              <w:spacing w:line="288" w:lineRule="auto"/>
              <w:ind w:firstLine="480" w:firstLineChars="200"/>
              <w:jc w:val="left"/>
              <w:rPr>
                <w:rFonts w:ascii="方正仿宋_GBK" w:hAnsi="方正仿宋_GBK" w:eastAsia="方正仿宋_GBK" w:cs="方正仿宋_GBK"/>
                <w:b/>
                <w:bCs/>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8.投标人具有ITSS信息技术服务运行维护标准符合性证书</w:t>
            </w:r>
            <w:r>
              <w:rPr>
                <w:rFonts w:hint="eastAsia" w:ascii="仿宋_GB2312" w:hAnsi="仿宋_GB2312" w:eastAsia="仿宋_GB2312" w:cs="仿宋_GB2312"/>
                <w:color w:val="auto"/>
                <w:kern w:val="0"/>
                <w:sz w:val="24"/>
                <w:lang w:val="en-US" w:eastAsia="zh-CN" w:bidi="ar"/>
              </w:rPr>
              <w:t>三</w:t>
            </w:r>
            <w:r>
              <w:rPr>
                <w:rFonts w:hint="eastAsia" w:ascii="仿宋_GB2312" w:hAnsi="仿宋_GB2312" w:eastAsia="仿宋_GB2312" w:cs="仿宋_GB2312"/>
                <w:color w:val="auto"/>
                <w:kern w:val="0"/>
                <w:sz w:val="24"/>
                <w:lang w:bidi="ar"/>
              </w:rPr>
              <w:t>级及以上级别证书的，</w:t>
            </w:r>
            <w:r>
              <w:rPr>
                <w:rFonts w:hint="eastAsia" w:ascii="仿宋_GB2312" w:hAnsi="仿宋_GB2312" w:eastAsia="仿宋_GB2312" w:cs="仿宋_GB2312"/>
                <w:color w:val="000000" w:themeColor="text1"/>
                <w:kern w:val="0"/>
                <w:sz w:val="24"/>
                <w:lang w:bidi="ar"/>
                <w14:textFill>
                  <w14:solidFill>
                    <w14:schemeClr w14:val="tx1"/>
                  </w14:solidFill>
                </w14:textFill>
              </w:rPr>
              <w:t>得1分；其余不得分。</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 xml:space="preserve">  </w:t>
            </w:r>
            <w:r>
              <w:rPr>
                <w:rFonts w:hint="eastAsia" w:ascii="仿宋_GB2312" w:hAnsi="仿宋_GB2312" w:eastAsia="仿宋_GB2312" w:cs="仿宋_GB2312"/>
                <w:b/>
                <w:bCs/>
                <w:color w:val="000000" w:themeColor="text1"/>
                <w:kern w:val="0"/>
                <w:sz w:val="24"/>
                <w:lang w:bidi="ar"/>
                <w14:textFill>
                  <w14:solidFill>
                    <w14:schemeClr w14:val="tx1"/>
                  </w14:solidFill>
                </w14:textFill>
              </w:rPr>
              <w:t>注：以上须提供相关证书复印件加盖投标人公章。</w:t>
            </w:r>
          </w:p>
        </w:tc>
        <w:tc>
          <w:tcPr>
            <w:tcW w:w="407"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44" w:type="pct"/>
            <w:vMerge w:val="continue"/>
            <w:tcBorders>
              <w:left w:val="single" w:color="auto" w:sz="4" w:space="0"/>
              <w:right w:val="single" w:color="auto" w:sz="4" w:space="0"/>
            </w:tcBorders>
            <w:vAlign w:val="center"/>
          </w:tcPr>
          <w:p>
            <w:pPr>
              <w:spacing w:line="288" w:lineRule="auto"/>
              <w:jc w:val="center"/>
              <w:rPr>
                <w:rFonts w:ascii="仿宋_GB2312" w:hAnsi="仿宋_GB2312" w:eastAsia="仿宋_GB2312" w:cs="仿宋_GB2312"/>
                <w:color w:val="000000" w:themeColor="text1"/>
                <w:sz w:val="24"/>
                <w14:textFill>
                  <w14:solidFill>
                    <w14:schemeClr w14:val="tx1"/>
                  </w14:solidFill>
                </w14:textFill>
              </w:rPr>
            </w:pPr>
          </w:p>
        </w:tc>
        <w:tc>
          <w:tcPr>
            <w:tcW w:w="668"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业绩</w:t>
            </w:r>
          </w:p>
        </w:tc>
        <w:tc>
          <w:tcPr>
            <w:tcW w:w="3278" w:type="pct"/>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ind w:firstLine="480" w:firstLineChars="200"/>
              <w:jc w:val="lef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评审内容：业绩；</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评审标准：</w:t>
            </w:r>
            <w:r>
              <w:rPr>
                <w:rFonts w:hint="eastAsia" w:ascii="仿宋_GB2312" w:eastAsia="仿宋_GB2312"/>
                <w:color w:val="000000" w:themeColor="text1"/>
                <w:kern w:val="0"/>
                <w:sz w:val="24"/>
                <w14:textFill>
                  <w14:solidFill>
                    <w14:schemeClr w14:val="tx1"/>
                  </w14:solidFill>
                </w14:textFill>
              </w:rPr>
              <w:t>投标人自2018年1月1日至今，承担过城市信息模型(CIM）基础平台建设项目的，每提供</w:t>
            </w:r>
            <w:r>
              <w:rPr>
                <w:rFonts w:hint="eastAsia" w:ascii="仿宋_GB2312" w:hAnsi="仿宋" w:eastAsia="仿宋_GB2312" w:cs="仿宋_GB2312"/>
                <w:color w:val="000000" w:themeColor="text1"/>
                <w:sz w:val="24"/>
                <w:lang w:bidi="ar"/>
                <w14:textFill>
                  <w14:solidFill>
                    <w14:schemeClr w14:val="tx1"/>
                  </w14:solidFill>
                </w14:textFill>
              </w:rPr>
              <w:t>一份业绩</w:t>
            </w:r>
            <w:r>
              <w:rPr>
                <w:rFonts w:hint="eastAsia" w:ascii="仿宋_GB2312" w:eastAsia="仿宋_GB2312"/>
                <w:color w:val="000000" w:themeColor="text1"/>
                <w:kern w:val="0"/>
                <w:sz w:val="24"/>
                <w14:textFill>
                  <w14:solidFill>
                    <w14:schemeClr w14:val="tx1"/>
                  </w14:solidFill>
                </w14:textFill>
              </w:rPr>
              <w:t>得1分，最多得6分。</w:t>
            </w:r>
          </w:p>
          <w:p>
            <w:pPr>
              <w:widowControl/>
              <w:snapToGrid w:val="0"/>
              <w:spacing w:line="288" w:lineRule="auto"/>
              <w:ind w:firstLine="480" w:firstLineChars="200"/>
              <w:jc w:val="left"/>
              <w:rPr>
                <w:rFonts w:ascii="方正仿宋_GBK" w:hAnsi="方正仿宋_GBK" w:eastAsia="方正仿宋_GBK" w:cs="方正仿宋_GBK"/>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注：</w:t>
            </w:r>
            <w:r>
              <w:rPr>
                <w:rFonts w:hint="eastAsia" w:ascii="仿宋_GB2312" w:hAnsi="仿宋_GB2312" w:eastAsia="仿宋_GB2312" w:cs="仿宋_GB2312"/>
                <w:b/>
                <w:bCs/>
                <w:color w:val="000000" w:themeColor="text1"/>
                <w:kern w:val="0"/>
                <w:sz w:val="24"/>
                <w14:textFill>
                  <w14:solidFill>
                    <w14:schemeClr w14:val="tx1"/>
                  </w14:solidFill>
                </w14:textFill>
              </w:rPr>
              <w:t>以上须</w:t>
            </w:r>
            <w:r>
              <w:rPr>
                <w:rFonts w:hint="eastAsia" w:ascii="仿宋_GB2312" w:hAnsi="仿宋_GB2312" w:eastAsia="仿宋_GB2312" w:cs="仿宋_GB2312"/>
                <w:b/>
                <w:bCs/>
                <w:color w:val="000000" w:themeColor="text1"/>
                <w:kern w:val="0"/>
                <w:sz w:val="24"/>
                <w:lang w:bidi="ar"/>
                <w14:textFill>
                  <w14:solidFill>
                    <w14:schemeClr w14:val="tx1"/>
                  </w14:solidFill>
                </w14:textFill>
              </w:rPr>
              <w:t>提供合同复印件、中标通知书复印件加盖投标人公章，业绩时间以合同签订时间为准。</w:t>
            </w:r>
          </w:p>
        </w:tc>
        <w:tc>
          <w:tcPr>
            <w:tcW w:w="407"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44"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合  计</w:t>
            </w:r>
          </w:p>
        </w:tc>
        <w:tc>
          <w:tcPr>
            <w:tcW w:w="668"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w:t>
            </w:r>
          </w:p>
        </w:tc>
        <w:tc>
          <w:tcPr>
            <w:tcW w:w="3278"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w:t>
            </w:r>
          </w:p>
        </w:tc>
        <w:tc>
          <w:tcPr>
            <w:tcW w:w="407"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rPr>
                <w:rFonts w:ascii="仿宋_GB2312" w:hAnsi="Times New Roman" w:eastAsia="仿宋_GB2312" w:cs="Times New Roman"/>
                <w:color w:val="000000" w:themeColor="text1"/>
                <w14:textFill>
                  <w14:solidFill>
                    <w14:schemeClr w14:val="tx1"/>
                  </w14:solidFill>
                </w14:textFill>
              </w:rPr>
            </w:pPr>
            <w:r>
              <w:rPr>
                <w:rFonts w:hint="eastAsia" w:ascii="仿宋_GB2312" w:eastAsia="仿宋_GB2312" w:cs="仿宋_GB2312"/>
                <w:b/>
                <w:color w:val="000000" w:themeColor="text1"/>
                <w14:textFill>
                  <w14:solidFill>
                    <w14:schemeClr w14:val="tx1"/>
                  </w14:solidFill>
                </w14:textFill>
              </w:rPr>
              <w:t>特别说明：评分相关证明材料如联合体投标，联合体任一方提供即可。</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（三）辽宁省城市运行管理服务平台评分标准</w:t>
      </w:r>
    </w:p>
    <w:tbl>
      <w:tblPr>
        <w:tblStyle w:val="20"/>
        <w:tblpPr w:leftFromText="180" w:rightFromText="180" w:vertAnchor="text" w:horzAnchor="margin" w:tblpX="-373" w:tblpY="10"/>
        <w:tblW w:w="56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205"/>
        <w:gridCol w:w="6007"/>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58"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b/>
                <w:color w:val="000000" w:themeColor="text1"/>
                <w:kern w:val="2"/>
                <w14:textFill>
                  <w14:solidFill>
                    <w14:schemeClr w14:val="tx1"/>
                  </w14:solidFill>
                </w14:textFill>
              </w:rPr>
            </w:pPr>
            <w:r>
              <w:rPr>
                <w:rFonts w:hint="eastAsia" w:ascii="仿宋_GB2312" w:hAnsi="仿宋_GB2312" w:eastAsia="仿宋_GB2312" w:cs="仿宋_GB2312"/>
                <w:b/>
                <w:color w:val="000000" w:themeColor="text1"/>
                <w:kern w:val="2"/>
                <w14:textFill>
                  <w14:solidFill>
                    <w14:schemeClr w14:val="tx1"/>
                  </w14:solidFill>
                </w14:textFill>
              </w:rPr>
              <w:t>包号</w:t>
            </w:r>
          </w:p>
        </w:tc>
        <w:tc>
          <w:tcPr>
            <w:tcW w:w="4341" w:type="pct"/>
            <w:gridSpan w:val="3"/>
            <w:tcBorders>
              <w:top w:val="single" w:color="auto" w:sz="4" w:space="0"/>
              <w:left w:val="single" w:color="auto" w:sz="4" w:space="0"/>
              <w:bottom w:val="single" w:color="auto" w:sz="4" w:space="0"/>
              <w:right w:val="single" w:color="auto" w:sz="4" w:space="0"/>
            </w:tcBorders>
            <w:vAlign w:val="center"/>
          </w:tcPr>
          <w:p>
            <w:pPr>
              <w:pStyle w:val="16"/>
              <w:widowControl w:val="0"/>
              <w:snapToGrid w:val="0"/>
              <w:spacing w:before="0" w:beforeAutospacing="0" w:after="0" w:afterAutospacing="0" w:line="300" w:lineRule="auto"/>
              <w:jc w:val="center"/>
              <w:rPr>
                <w:rFonts w:ascii="仿宋_GB2312" w:hAnsi="仿宋_GB2312" w:eastAsia="仿宋_GB2312" w:cs="仿宋_GB2312"/>
                <w:b/>
                <w:color w:val="000000" w:themeColor="text1"/>
                <w:kern w:val="2"/>
                <w14:textFill>
                  <w14:solidFill>
                    <w14:schemeClr w14:val="tx1"/>
                  </w14:solidFill>
                </w14:textFill>
              </w:rPr>
            </w:pPr>
            <w:r>
              <w:rPr>
                <w:rFonts w:hint="eastAsia" w:ascii="仿宋_GB2312" w:hAnsi="仿宋_GB2312" w:eastAsia="仿宋_GB2312" w:cs="仿宋_GB2312"/>
                <w:b/>
                <w:color w:val="000000" w:themeColor="text1"/>
                <w:kern w:val="2"/>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58"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项目</w:t>
            </w:r>
          </w:p>
        </w:tc>
        <w:tc>
          <w:tcPr>
            <w:tcW w:w="658"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分项名称</w:t>
            </w:r>
          </w:p>
        </w:tc>
        <w:tc>
          <w:tcPr>
            <w:tcW w:w="3279"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评分标准</w:t>
            </w:r>
          </w:p>
        </w:tc>
        <w:tc>
          <w:tcPr>
            <w:tcW w:w="402"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58"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价格部分（10分）</w:t>
            </w:r>
          </w:p>
        </w:tc>
        <w:tc>
          <w:tcPr>
            <w:tcW w:w="658"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投标报价</w:t>
            </w:r>
          </w:p>
        </w:tc>
        <w:tc>
          <w:tcPr>
            <w:tcW w:w="3279" w:type="pct"/>
            <w:tcBorders>
              <w:top w:val="single" w:color="auto" w:sz="4" w:space="0"/>
              <w:left w:val="single" w:color="auto" w:sz="4" w:space="0"/>
              <w:bottom w:val="single" w:color="auto" w:sz="4" w:space="0"/>
              <w:right w:val="single" w:color="auto" w:sz="4" w:space="0"/>
            </w:tcBorders>
            <w:vAlign w:val="center"/>
          </w:tcPr>
          <w:p>
            <w:pPr>
              <w:spacing w:line="300" w:lineRule="auto"/>
              <w:ind w:firstLine="480" w:firstLineChars="20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评审内容：投标报价；</w:t>
            </w:r>
          </w:p>
          <w:p>
            <w:pPr>
              <w:adjustRightInd w:val="0"/>
              <w:snapToGrid w:val="0"/>
              <w:spacing w:line="300" w:lineRule="auto"/>
              <w:ind w:firstLine="480" w:firstLineChars="200"/>
              <w:jc w:val="left"/>
              <w:textAlignment w:val="cente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评审标准：</w:t>
            </w:r>
          </w:p>
          <w:p>
            <w:pPr>
              <w:adjustRightInd w:val="0"/>
              <w:snapToGrid w:val="0"/>
              <w:spacing w:line="300" w:lineRule="auto"/>
              <w:ind w:firstLine="480" w:firstLineChars="200"/>
              <w:jc w:val="left"/>
              <w:textAlignment w:val="cente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1.评标基准价：系指满足招标文件要求且投标价格最低的投标报价。</w:t>
            </w:r>
          </w:p>
          <w:p>
            <w:pPr>
              <w:adjustRightInd w:val="0"/>
              <w:snapToGrid w:val="0"/>
              <w:spacing w:line="300" w:lineRule="auto"/>
              <w:ind w:firstLine="480" w:firstLineChars="200"/>
              <w:jc w:val="left"/>
              <w:textAlignment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2.投标报价得分＝（评标基准价／投标报价）×10，得分保留至小数点后两位。</w:t>
            </w:r>
          </w:p>
        </w:tc>
        <w:tc>
          <w:tcPr>
            <w:tcW w:w="402" w:type="pct"/>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_GB2312" w:eastAsia="仿宋_GB2312"/>
                <w:color w:val="000000" w:themeColor="text1"/>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58" w:type="pct"/>
            <w:vMerge w:val="restart"/>
            <w:tcBorders>
              <w:top w:val="single" w:color="auto" w:sz="4" w:space="0"/>
              <w:left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技术部分（58分）</w:t>
            </w:r>
          </w:p>
        </w:tc>
        <w:tc>
          <w:tcPr>
            <w:tcW w:w="658" w:type="pct"/>
            <w:tcBorders>
              <w:top w:val="single" w:color="auto" w:sz="4" w:space="0"/>
              <w:left w:val="single" w:color="auto" w:sz="4" w:space="0"/>
              <w:bottom w:val="single" w:color="auto" w:sz="4" w:space="0"/>
              <w:right w:val="single" w:color="auto" w:sz="4" w:space="0"/>
            </w:tcBorders>
            <w:vAlign w:val="center"/>
          </w:tcPr>
          <w:p>
            <w:pPr>
              <w:pStyle w:val="45"/>
              <w:snapToGrid w:val="0"/>
              <w:spacing w:line="300"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总体设计方案</w:t>
            </w:r>
          </w:p>
        </w:tc>
        <w:tc>
          <w:tcPr>
            <w:tcW w:w="3279" w:type="pct"/>
            <w:tcBorders>
              <w:top w:val="single" w:color="auto" w:sz="4" w:space="0"/>
              <w:left w:val="single" w:color="auto" w:sz="4" w:space="0"/>
              <w:bottom w:val="single" w:color="auto" w:sz="4" w:space="0"/>
              <w:right w:val="single" w:color="auto" w:sz="4" w:space="0"/>
            </w:tcBorders>
            <w:vAlign w:val="center"/>
          </w:tcPr>
          <w:p>
            <w:pPr>
              <w:pStyle w:val="45"/>
              <w:snapToGrid w:val="0"/>
              <w:spacing w:line="300" w:lineRule="auto"/>
              <w:ind w:firstLine="480" w:firstLineChars="200"/>
              <w:rPr>
                <w:rFonts w:ascii="仿宋_GB2312" w:hAnsi="仿宋_GB2312" w:eastAsia="仿宋_GB2312" w:cs="仿宋_GB2312"/>
                <w:color w:val="auto"/>
                <w:lang w:bidi="ar"/>
              </w:rPr>
            </w:pPr>
            <w:r>
              <w:rPr>
                <w:rFonts w:ascii="仿宋_GB2312" w:eastAsia="仿宋_GB2312"/>
                <w:color w:val="auto"/>
              </w:rPr>
              <w:t>投标人针对项目</w:t>
            </w:r>
            <w:r>
              <w:rPr>
                <w:rFonts w:hint="eastAsia" w:ascii="仿宋_GB2312" w:eastAsia="仿宋_GB2312"/>
                <w:color w:val="auto"/>
              </w:rPr>
              <w:t>采购</w:t>
            </w:r>
            <w:r>
              <w:rPr>
                <w:rFonts w:ascii="仿宋_GB2312" w:eastAsia="仿宋_GB2312"/>
                <w:color w:val="auto"/>
              </w:rPr>
              <w:t>需求编制总体方案，内容包括总体架构、总体功能架构、数据流向图、网络拓扑图、逻辑部署设计</w:t>
            </w:r>
            <w:r>
              <w:rPr>
                <w:rFonts w:hint="eastAsia" w:ascii="仿宋_GB2312" w:eastAsia="仿宋_GB2312" w:hAnsiTheme="minorHAnsi" w:cstheme="minorBidi"/>
                <w:color w:val="auto"/>
              </w:rPr>
              <w:t>等内容，进行评审:</w:t>
            </w:r>
            <w:r>
              <w:rPr>
                <w:rFonts w:ascii="仿宋_GB2312" w:eastAsia="仿宋_GB2312"/>
                <w:color w:val="auto"/>
              </w:rPr>
              <w:br w:type="textWrapping"/>
            </w:r>
            <w:r>
              <w:rPr>
                <w:rFonts w:hint="eastAsia" w:ascii="仿宋_GB2312" w:eastAsia="仿宋_GB2312"/>
                <w:color w:val="auto"/>
              </w:rPr>
              <w:t xml:space="preserve">    1.</w:t>
            </w:r>
            <w:r>
              <w:rPr>
                <w:rFonts w:hint="eastAsia" w:ascii="仿宋_GB2312" w:hAnsi="仿宋_GB2312" w:eastAsia="仿宋_GB2312" w:cs="仿宋_GB2312"/>
                <w:color w:val="auto"/>
                <w:lang w:bidi="ar"/>
              </w:rPr>
              <w:t>总体设计方案内容详细、总体架构科学合理、系统功能设计针对性强、方案紧密切合需求的，得6分；</w:t>
            </w:r>
            <w:r>
              <w:rPr>
                <w:rFonts w:hint="eastAsia" w:ascii="仿宋_GB2312" w:hAnsi="仿宋_GB2312" w:eastAsia="仿宋_GB2312" w:cs="仿宋_GB2312"/>
                <w:color w:val="auto"/>
                <w:lang w:bidi="ar"/>
              </w:rPr>
              <w:br w:type="textWrapping"/>
            </w:r>
            <w:r>
              <w:rPr>
                <w:rFonts w:hint="eastAsia" w:ascii="仿宋_GB2312" w:hAnsi="仿宋_GB2312" w:eastAsia="仿宋_GB2312" w:cs="仿宋_GB2312"/>
                <w:color w:val="auto"/>
                <w:lang w:bidi="ar"/>
              </w:rPr>
              <w:t xml:space="preserve">    2.总体设计方案内容较详细、总体架构较合理、系统功能设计针对性较强、方案</w:t>
            </w:r>
            <w:r>
              <w:rPr>
                <w:rFonts w:hint="eastAsia" w:ascii="仿宋_GB2312" w:hAnsi="仿宋_GB2312" w:eastAsia="仿宋_GB2312" w:cs="仿宋_GB2312"/>
                <w:color w:val="auto"/>
                <w:lang w:val="en-US" w:eastAsia="zh-CN" w:bidi="ar"/>
              </w:rPr>
              <w:t>较</w:t>
            </w:r>
            <w:r>
              <w:rPr>
                <w:rFonts w:hint="eastAsia" w:ascii="仿宋_GB2312" w:hAnsi="仿宋_GB2312" w:eastAsia="仿宋_GB2312" w:cs="仿宋_GB2312"/>
                <w:color w:val="auto"/>
                <w:lang w:bidi="ar"/>
              </w:rPr>
              <w:t>切合需求的，得4分；</w:t>
            </w:r>
            <w:r>
              <w:rPr>
                <w:rFonts w:hint="eastAsia" w:ascii="仿宋_GB2312" w:hAnsi="仿宋_GB2312" w:eastAsia="仿宋_GB2312" w:cs="仿宋_GB2312"/>
                <w:color w:val="auto"/>
                <w:lang w:bidi="ar"/>
              </w:rPr>
              <w:br w:type="textWrapping"/>
            </w:r>
            <w:r>
              <w:rPr>
                <w:rFonts w:hint="eastAsia" w:ascii="仿宋_GB2312" w:hAnsi="仿宋_GB2312" w:eastAsia="仿宋_GB2312" w:cs="仿宋_GB2312"/>
                <w:color w:val="auto"/>
                <w:lang w:bidi="ar"/>
              </w:rPr>
              <w:t xml:space="preserve">    3.总体设计方案、总体架构较基本合理、系统功能设计针对性不强但方案基本切合需求的，得2分；</w:t>
            </w:r>
          </w:p>
          <w:p>
            <w:pPr>
              <w:pStyle w:val="45"/>
              <w:snapToGrid w:val="0"/>
              <w:spacing w:line="300" w:lineRule="auto"/>
              <w:ind w:firstLine="480" w:firstLineChars="200"/>
              <w:rPr>
                <w:rFonts w:ascii="仿宋_GB2312" w:eastAsia="仿宋_GB2312"/>
                <w:color w:val="auto"/>
              </w:rPr>
            </w:pPr>
            <w:r>
              <w:rPr>
                <w:rFonts w:hint="eastAsia" w:ascii="仿宋_GB2312" w:eastAsia="仿宋_GB2312"/>
                <w:color w:val="auto"/>
              </w:rPr>
              <w:t>4.</w:t>
            </w:r>
            <w:r>
              <w:rPr>
                <w:rFonts w:hint="eastAsia" w:ascii="仿宋_GB2312" w:eastAsia="仿宋_GB2312" w:hAnsiTheme="minorHAnsi" w:cstheme="minorBidi"/>
                <w:color w:val="auto"/>
              </w:rPr>
              <w:t>未提供总体设计方案或提供内容与本项目不符,不得分。</w:t>
            </w:r>
          </w:p>
        </w:tc>
        <w:tc>
          <w:tcPr>
            <w:tcW w:w="4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仿宋_GB2312" w:eastAsia="仿宋_GB2312"/>
                <w:color w:val="auto"/>
                <w:kern w:val="0"/>
                <w:sz w:val="24"/>
              </w:rPr>
            </w:pPr>
            <w:r>
              <w:rPr>
                <w:rFonts w:hint="eastAsia" w:ascii="仿宋_GB2312" w:eastAsia="仿宋_GB2312"/>
                <w:color w:val="auto"/>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58" w:type="pct"/>
            <w:vMerge w:val="continue"/>
            <w:tcBorders>
              <w:left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p>
        </w:tc>
        <w:tc>
          <w:tcPr>
            <w:tcW w:w="658" w:type="pct"/>
            <w:tcBorders>
              <w:top w:val="single" w:color="auto" w:sz="4" w:space="0"/>
              <w:left w:val="single" w:color="auto" w:sz="4" w:space="0"/>
              <w:bottom w:val="single" w:color="auto" w:sz="4" w:space="0"/>
              <w:right w:val="single" w:color="auto" w:sz="4" w:space="0"/>
            </w:tcBorders>
            <w:vAlign w:val="center"/>
          </w:tcPr>
          <w:p>
            <w:pPr>
              <w:pStyle w:val="45"/>
              <w:snapToGrid w:val="0"/>
              <w:spacing w:line="300"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业务需求</w:t>
            </w:r>
            <w:r>
              <w:rPr>
                <w:rFonts w:ascii="仿宋_GB2312" w:hAnsi="仿宋_GB2312" w:eastAsia="仿宋_GB2312" w:cs="仿宋_GB2312"/>
                <w:color w:val="000000" w:themeColor="text1"/>
                <w14:textFill>
                  <w14:solidFill>
                    <w14:schemeClr w14:val="tx1"/>
                  </w14:solidFill>
                </w14:textFill>
              </w:rPr>
              <w:t>分析</w:t>
            </w:r>
          </w:p>
        </w:tc>
        <w:tc>
          <w:tcPr>
            <w:tcW w:w="3279" w:type="pct"/>
            <w:tcBorders>
              <w:top w:val="single" w:color="auto" w:sz="4" w:space="0"/>
              <w:left w:val="single" w:color="auto" w:sz="4" w:space="0"/>
              <w:bottom w:val="single" w:color="auto" w:sz="4" w:space="0"/>
              <w:right w:val="single" w:color="auto" w:sz="4" w:space="0"/>
            </w:tcBorders>
            <w:vAlign w:val="center"/>
          </w:tcPr>
          <w:p>
            <w:pPr>
              <w:pStyle w:val="45"/>
              <w:snapToGrid w:val="0"/>
              <w:spacing w:line="300" w:lineRule="auto"/>
              <w:ind w:firstLine="480" w:firstLineChars="200"/>
              <w:rPr>
                <w:rFonts w:ascii="仿宋_GB2312" w:eastAsia="仿宋_GB2312"/>
                <w:color w:val="auto"/>
              </w:rPr>
            </w:pPr>
            <w:r>
              <w:rPr>
                <w:rFonts w:ascii="仿宋_GB2312" w:eastAsia="仿宋_GB2312"/>
                <w:color w:val="auto"/>
              </w:rPr>
              <w:t>对本项目需求理解准确，分析内容完整、透彻、理解认知度高，</w:t>
            </w:r>
            <w:r>
              <w:rPr>
                <w:rFonts w:hint="eastAsia" w:ascii="仿宋_GB2312" w:eastAsia="仿宋_GB2312"/>
                <w:color w:val="auto"/>
              </w:rPr>
              <w:t>投标人能充分了解住建部运管服平台相关文件及技术标准的要求，能够业务现状、业务需求、系统应用需求进行详细阐述说明</w:t>
            </w:r>
            <w:r>
              <w:rPr>
                <w:rFonts w:hint="eastAsia" w:ascii="仿宋_GB2312" w:eastAsia="仿宋_GB2312" w:hAnsiTheme="minorHAnsi" w:cstheme="minorBidi"/>
                <w:color w:val="auto"/>
              </w:rPr>
              <w:t>等内容</w:t>
            </w:r>
            <w:r>
              <w:rPr>
                <w:rFonts w:hint="eastAsia" w:ascii="仿宋_GB2312" w:eastAsia="仿宋_GB2312"/>
                <w:color w:val="auto"/>
              </w:rPr>
              <w:t>，</w:t>
            </w:r>
            <w:r>
              <w:rPr>
                <w:rFonts w:hint="eastAsia" w:ascii="仿宋_GB2312" w:eastAsia="仿宋_GB2312" w:hAnsiTheme="minorHAnsi" w:cstheme="minorBidi"/>
                <w:color w:val="auto"/>
              </w:rPr>
              <w:t>进行评审:</w:t>
            </w:r>
          </w:p>
          <w:p>
            <w:pPr>
              <w:pStyle w:val="45"/>
              <w:snapToGrid w:val="0"/>
              <w:spacing w:line="300" w:lineRule="auto"/>
              <w:ind w:firstLine="480" w:firstLineChars="200"/>
              <w:rPr>
                <w:rFonts w:ascii="仿宋_GB2312" w:hAnsi="仿宋_GB2312" w:eastAsia="仿宋_GB2312" w:cs="仿宋_GB2312"/>
                <w:color w:val="auto"/>
                <w:lang w:bidi="ar"/>
              </w:rPr>
            </w:pPr>
            <w:r>
              <w:rPr>
                <w:rFonts w:hint="eastAsia" w:ascii="仿宋_GB2312" w:eastAsia="仿宋_GB2312"/>
                <w:color w:val="auto"/>
              </w:rPr>
              <w:t>1.业务需求分析完整、透彻，理解认知度高</w:t>
            </w:r>
            <w:r>
              <w:rPr>
                <w:rFonts w:hint="eastAsia" w:ascii="仿宋_GB2312" w:hAnsi="仿宋_GB2312" w:eastAsia="仿宋_GB2312" w:cs="仿宋_GB2312"/>
                <w:color w:val="auto"/>
                <w:lang w:bidi="ar"/>
              </w:rPr>
              <w:t>、方案紧密切合需求的，得6分；</w:t>
            </w:r>
            <w:r>
              <w:rPr>
                <w:rFonts w:hint="eastAsia" w:ascii="仿宋_GB2312" w:hAnsi="仿宋_GB2312" w:eastAsia="仿宋_GB2312" w:cs="仿宋_GB2312"/>
                <w:color w:val="auto"/>
                <w:lang w:bidi="ar"/>
              </w:rPr>
              <w:br w:type="textWrapping"/>
            </w:r>
            <w:r>
              <w:rPr>
                <w:rFonts w:hint="eastAsia" w:ascii="仿宋_GB2312" w:hAnsi="仿宋_GB2312" w:eastAsia="仿宋_GB2312" w:cs="仿宋_GB2312"/>
                <w:color w:val="auto"/>
                <w:lang w:bidi="ar"/>
              </w:rPr>
              <w:t xml:space="preserve">    2.</w:t>
            </w:r>
            <w:r>
              <w:rPr>
                <w:rFonts w:hint="eastAsia" w:ascii="仿宋_GB2312" w:eastAsia="仿宋_GB2312"/>
                <w:color w:val="auto"/>
              </w:rPr>
              <w:t>业务需求分析较完整、透彻，理解认知度较高</w:t>
            </w:r>
            <w:r>
              <w:rPr>
                <w:rFonts w:hint="eastAsia" w:ascii="仿宋_GB2312" w:hAnsi="仿宋_GB2312" w:eastAsia="仿宋_GB2312" w:cs="仿宋_GB2312"/>
                <w:color w:val="auto"/>
                <w:lang w:bidi="ar"/>
              </w:rPr>
              <w:t>、方案</w:t>
            </w:r>
            <w:r>
              <w:rPr>
                <w:rFonts w:hint="eastAsia" w:ascii="仿宋_GB2312" w:hAnsi="仿宋_GB2312" w:eastAsia="仿宋_GB2312" w:cs="仿宋_GB2312"/>
                <w:color w:val="auto"/>
                <w:lang w:val="en-US" w:eastAsia="zh-CN" w:bidi="ar"/>
              </w:rPr>
              <w:t>较</w:t>
            </w:r>
            <w:r>
              <w:rPr>
                <w:rFonts w:hint="eastAsia" w:ascii="仿宋_GB2312" w:hAnsi="仿宋_GB2312" w:eastAsia="仿宋_GB2312" w:cs="仿宋_GB2312"/>
                <w:color w:val="auto"/>
                <w:lang w:bidi="ar"/>
              </w:rPr>
              <w:t>切合需求的，得4分；</w:t>
            </w:r>
            <w:r>
              <w:rPr>
                <w:rFonts w:hint="eastAsia" w:ascii="仿宋_GB2312" w:hAnsi="仿宋_GB2312" w:eastAsia="仿宋_GB2312" w:cs="仿宋_GB2312"/>
                <w:color w:val="auto"/>
                <w:lang w:bidi="ar"/>
              </w:rPr>
              <w:br w:type="textWrapping"/>
            </w:r>
            <w:r>
              <w:rPr>
                <w:rFonts w:hint="eastAsia" w:ascii="仿宋_GB2312" w:hAnsi="仿宋_GB2312" w:eastAsia="仿宋_GB2312" w:cs="仿宋_GB2312"/>
                <w:color w:val="auto"/>
                <w:lang w:bidi="ar"/>
              </w:rPr>
              <w:t xml:space="preserve">    3.业务需求分析基本</w:t>
            </w:r>
            <w:r>
              <w:rPr>
                <w:rFonts w:hint="eastAsia" w:ascii="仿宋_GB2312" w:eastAsia="仿宋_GB2312"/>
                <w:color w:val="auto"/>
              </w:rPr>
              <w:t>完整</w:t>
            </w:r>
            <w:r>
              <w:rPr>
                <w:rFonts w:hint="eastAsia" w:ascii="仿宋_GB2312" w:hAnsi="仿宋_GB2312" w:eastAsia="仿宋_GB2312" w:cs="仿宋_GB2312"/>
                <w:color w:val="auto"/>
                <w:lang w:bidi="ar"/>
              </w:rPr>
              <w:t>、</w:t>
            </w:r>
            <w:r>
              <w:rPr>
                <w:rFonts w:hint="eastAsia" w:ascii="仿宋_GB2312" w:eastAsia="仿宋_GB2312"/>
                <w:color w:val="auto"/>
              </w:rPr>
              <w:t>理解认知度</w:t>
            </w:r>
            <w:r>
              <w:rPr>
                <w:rFonts w:hint="eastAsia" w:ascii="仿宋_GB2312" w:hAnsi="仿宋_GB2312" w:eastAsia="仿宋_GB2312" w:cs="仿宋_GB2312"/>
                <w:color w:val="auto"/>
                <w:lang w:bidi="ar"/>
              </w:rPr>
              <w:t>不强但方案基本切合需求的，得2分；</w:t>
            </w:r>
          </w:p>
          <w:p>
            <w:pPr>
              <w:pStyle w:val="45"/>
              <w:snapToGrid w:val="0"/>
              <w:spacing w:line="300" w:lineRule="auto"/>
              <w:ind w:firstLine="480" w:firstLineChars="200"/>
              <w:rPr>
                <w:rFonts w:ascii="仿宋_GB2312" w:eastAsia="仿宋_GB2312"/>
                <w:color w:val="auto"/>
              </w:rPr>
            </w:pPr>
            <w:r>
              <w:rPr>
                <w:rFonts w:hint="eastAsia" w:ascii="仿宋_GB2312" w:eastAsia="仿宋_GB2312"/>
                <w:color w:val="auto"/>
              </w:rPr>
              <w:t>4.</w:t>
            </w:r>
            <w:r>
              <w:rPr>
                <w:rFonts w:hint="eastAsia" w:ascii="仿宋_GB2312" w:eastAsia="仿宋_GB2312" w:hAnsiTheme="minorHAnsi" w:cstheme="minorBidi"/>
                <w:color w:val="auto"/>
              </w:rPr>
              <w:t>未提供业务需求分析或提供内容与本项目不符,不得分。</w:t>
            </w:r>
          </w:p>
        </w:tc>
        <w:tc>
          <w:tcPr>
            <w:tcW w:w="4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仿宋_GB2312" w:eastAsia="仿宋_GB2312"/>
                <w:color w:val="auto"/>
                <w:kern w:val="0"/>
                <w:sz w:val="24"/>
              </w:rPr>
            </w:pPr>
            <w:r>
              <w:rPr>
                <w:rFonts w:hint="eastAsia" w:ascii="仿宋_GB2312" w:eastAsia="仿宋_GB2312"/>
                <w:color w:val="auto"/>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58" w:type="pct"/>
            <w:vMerge w:val="continue"/>
            <w:tcBorders>
              <w:left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p>
        </w:tc>
        <w:tc>
          <w:tcPr>
            <w:tcW w:w="658" w:type="pct"/>
            <w:tcBorders>
              <w:top w:val="single" w:color="auto" w:sz="4" w:space="0"/>
              <w:left w:val="single" w:color="auto" w:sz="4" w:space="0"/>
              <w:bottom w:val="single" w:color="auto" w:sz="4" w:space="0"/>
              <w:right w:val="single" w:color="auto" w:sz="4" w:space="0"/>
            </w:tcBorders>
            <w:vAlign w:val="center"/>
          </w:tcPr>
          <w:p>
            <w:pPr>
              <w:pStyle w:val="45"/>
              <w:snapToGrid w:val="0"/>
              <w:spacing w:line="300" w:lineRule="auto"/>
              <w:jc w:val="center"/>
              <w:rPr>
                <w:rFonts w:ascii="仿宋_GB2312" w:eastAsia="仿宋_GB2312" w:hAnsiTheme="minorHAnsi" w:cstheme="minorBidi"/>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应用系统设计</w:t>
            </w:r>
          </w:p>
        </w:tc>
        <w:tc>
          <w:tcPr>
            <w:tcW w:w="3279" w:type="pct"/>
            <w:tcBorders>
              <w:top w:val="single" w:color="auto" w:sz="4" w:space="0"/>
              <w:left w:val="single" w:color="auto" w:sz="4" w:space="0"/>
              <w:bottom w:val="single" w:color="auto" w:sz="4" w:space="0"/>
              <w:right w:val="single" w:color="auto" w:sz="4" w:space="0"/>
            </w:tcBorders>
            <w:vAlign w:val="center"/>
          </w:tcPr>
          <w:p>
            <w:pPr>
              <w:pStyle w:val="45"/>
              <w:snapToGrid w:val="0"/>
              <w:spacing w:line="300" w:lineRule="auto"/>
              <w:ind w:firstLine="480" w:firstLineChars="200"/>
              <w:rPr>
                <w:rFonts w:ascii="仿宋_GB2312" w:hAnsi="宋体" w:eastAsia="仿宋_GB2312" w:cs="仿宋_GB2312"/>
                <w:color w:val="000000" w:themeColor="text1"/>
                <w14:textFill>
                  <w14:solidFill>
                    <w14:schemeClr w14:val="tx1"/>
                  </w14:solidFill>
                </w14:textFill>
              </w:rPr>
            </w:pPr>
            <w:r>
              <w:rPr>
                <w:rFonts w:ascii="仿宋_GB2312" w:hAnsi="宋体" w:eastAsia="仿宋_GB2312" w:cs="仿宋_GB2312"/>
                <w:color w:val="000000" w:themeColor="text1"/>
                <w14:textFill>
                  <w14:solidFill>
                    <w14:schemeClr w14:val="tx1"/>
                  </w14:solidFill>
                </w14:textFill>
              </w:rPr>
              <w:t>投标人针对项目</w:t>
            </w:r>
            <w:r>
              <w:rPr>
                <w:rFonts w:hint="eastAsia" w:ascii="仿宋_GB2312" w:hAnsi="宋体" w:eastAsia="仿宋_GB2312" w:cs="仿宋_GB2312"/>
                <w:color w:val="000000" w:themeColor="text1"/>
                <w14:textFill>
                  <w14:solidFill>
                    <w14:schemeClr w14:val="tx1"/>
                  </w14:solidFill>
                </w14:textFill>
              </w:rPr>
              <w:t>采购</w:t>
            </w:r>
            <w:r>
              <w:rPr>
                <w:rFonts w:ascii="仿宋_GB2312" w:hAnsi="宋体" w:eastAsia="仿宋_GB2312" w:cs="仿宋_GB2312"/>
                <w:color w:val="000000" w:themeColor="text1"/>
                <w14:textFill>
                  <w14:solidFill>
                    <w14:schemeClr w14:val="tx1"/>
                  </w14:solidFill>
                </w14:textFill>
              </w:rPr>
              <w:t>内容编写应用系统技术方案，每项内容设计合理，每个功能模块详实完整</w:t>
            </w:r>
            <w:r>
              <w:rPr>
                <w:rFonts w:ascii="仿宋_GB2312" w:eastAsia="仿宋_GB2312"/>
                <w:color w:val="000000" w:themeColor="text1"/>
                <w14:textFill>
                  <w14:solidFill>
                    <w14:schemeClr w14:val="tx1"/>
                  </w14:solidFill>
                </w14:textFill>
              </w:rPr>
              <w:t>等内容，</w:t>
            </w:r>
            <w:r>
              <w:rPr>
                <w:rFonts w:hint="eastAsia" w:ascii="仿宋_GB2312" w:eastAsia="仿宋_GB2312" w:hAnsiTheme="minorHAnsi" w:cstheme="minorBidi"/>
                <w:color w:val="000000" w:themeColor="text1"/>
                <w14:textFill>
                  <w14:solidFill>
                    <w14:schemeClr w14:val="tx1"/>
                  </w14:solidFill>
                </w14:textFill>
              </w:rPr>
              <w:t>进行评审:</w:t>
            </w:r>
          </w:p>
          <w:p>
            <w:pPr>
              <w:snapToGrid w:val="0"/>
              <w:spacing w:line="300" w:lineRule="auto"/>
              <w:ind w:firstLine="480" w:firstLineChars="200"/>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1.应用系统设计</w:t>
            </w:r>
            <w:r>
              <w:rPr>
                <w:rFonts w:ascii="仿宋_GB2312" w:hAnsi="宋体" w:eastAsia="仿宋_GB2312" w:cs="仿宋_GB2312"/>
                <w:color w:val="000000" w:themeColor="text1"/>
                <w:sz w:val="24"/>
                <w14:textFill>
                  <w14:solidFill>
                    <w14:schemeClr w14:val="tx1"/>
                  </w14:solidFill>
                </w14:textFill>
              </w:rPr>
              <w:t>合理</w:t>
            </w:r>
            <w:r>
              <w:rPr>
                <w:rFonts w:hint="eastAsia" w:ascii="仿宋_GB2312" w:hAnsi="宋体" w:eastAsia="仿宋_GB2312" w:cs="仿宋_GB2312"/>
                <w:color w:val="000000" w:themeColor="text1"/>
                <w:sz w:val="24"/>
                <w14:textFill>
                  <w14:solidFill>
                    <w14:schemeClr w14:val="tx1"/>
                  </w14:solidFill>
                </w14:textFill>
              </w:rPr>
              <w:t>，</w:t>
            </w:r>
            <w:r>
              <w:rPr>
                <w:rFonts w:ascii="仿宋_GB2312" w:hAnsi="宋体" w:eastAsia="仿宋_GB2312" w:cs="仿宋_GB2312"/>
                <w:color w:val="000000" w:themeColor="text1"/>
                <w:sz w:val="24"/>
                <w14:textFill>
                  <w14:solidFill>
                    <w14:schemeClr w14:val="tx1"/>
                  </w14:solidFill>
                </w14:textFill>
              </w:rPr>
              <w:t>功能模块详实完整</w:t>
            </w:r>
            <w:r>
              <w:rPr>
                <w:rFonts w:hint="eastAsia" w:ascii="仿宋_GB2312" w:hAnsi="宋体" w:eastAsia="仿宋_GB2312" w:cs="仿宋_GB2312"/>
                <w:color w:val="000000" w:themeColor="text1"/>
                <w:sz w:val="24"/>
                <w14:textFill>
                  <w14:solidFill>
                    <w14:schemeClr w14:val="tx1"/>
                  </w14:solidFill>
                </w14:textFill>
              </w:rPr>
              <w:t>，</w:t>
            </w:r>
            <w:r>
              <w:rPr>
                <w:rFonts w:ascii="仿宋_GB2312" w:hAnsi="宋体" w:eastAsia="仿宋_GB2312" w:cs="仿宋_GB2312"/>
                <w:color w:val="000000" w:themeColor="text1"/>
                <w:sz w:val="24"/>
                <w14:textFill>
                  <w14:solidFill>
                    <w14:schemeClr w14:val="tx1"/>
                  </w14:solidFill>
                </w14:textFill>
              </w:rPr>
              <w:t>覆盖全部内容详细完善</w:t>
            </w:r>
            <w:r>
              <w:rPr>
                <w:rFonts w:hint="eastAsia" w:ascii="仿宋_GB2312" w:hAnsi="宋体" w:eastAsia="仿宋_GB2312" w:cs="仿宋_GB2312"/>
                <w:color w:val="000000" w:themeColor="text1"/>
                <w:sz w:val="24"/>
                <w14:textFill>
                  <w14:solidFill>
                    <w14:schemeClr w14:val="tx1"/>
                  </w14:solidFill>
                </w14:textFill>
              </w:rPr>
              <w:t>的，</w:t>
            </w:r>
            <w:r>
              <w:rPr>
                <w:rFonts w:ascii="仿宋_GB2312" w:hAnsi="宋体" w:eastAsia="仿宋_GB2312" w:cs="仿宋_GB2312"/>
                <w:color w:val="000000" w:themeColor="text1"/>
                <w:sz w:val="24"/>
                <w14:textFill>
                  <w14:solidFill>
                    <w14:schemeClr w14:val="tx1"/>
                  </w14:solidFill>
                </w14:textFill>
              </w:rPr>
              <w:t>得</w:t>
            </w:r>
            <w:r>
              <w:rPr>
                <w:rFonts w:hint="eastAsia" w:ascii="仿宋_GB2312" w:hAnsi="宋体" w:eastAsia="仿宋_GB2312" w:cs="仿宋_GB2312"/>
                <w:color w:val="000000" w:themeColor="text1"/>
                <w:sz w:val="24"/>
                <w14:textFill>
                  <w14:solidFill>
                    <w14:schemeClr w14:val="tx1"/>
                  </w14:solidFill>
                </w14:textFill>
              </w:rPr>
              <w:t>6</w:t>
            </w:r>
            <w:r>
              <w:rPr>
                <w:rFonts w:ascii="仿宋_GB2312" w:hAnsi="宋体" w:eastAsia="仿宋_GB2312" w:cs="仿宋_GB2312"/>
                <w:color w:val="000000" w:themeColor="text1"/>
                <w:sz w:val="24"/>
                <w14:textFill>
                  <w14:solidFill>
                    <w14:schemeClr w14:val="tx1"/>
                  </w14:solidFill>
                </w14:textFill>
              </w:rPr>
              <w:t>分；</w:t>
            </w:r>
          </w:p>
          <w:p>
            <w:pPr>
              <w:snapToGrid w:val="0"/>
              <w:spacing w:line="300" w:lineRule="auto"/>
              <w:ind w:firstLine="480" w:firstLineChars="200"/>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2.应用系统设计较</w:t>
            </w:r>
            <w:r>
              <w:rPr>
                <w:rFonts w:ascii="仿宋_GB2312" w:hAnsi="宋体" w:eastAsia="仿宋_GB2312" w:cs="仿宋_GB2312"/>
                <w:color w:val="000000" w:themeColor="text1"/>
                <w:sz w:val="24"/>
                <w14:textFill>
                  <w14:solidFill>
                    <w14:schemeClr w14:val="tx1"/>
                  </w14:solidFill>
                </w14:textFill>
              </w:rPr>
              <w:t>合理</w:t>
            </w:r>
            <w:r>
              <w:rPr>
                <w:rFonts w:hint="eastAsia" w:ascii="仿宋_GB2312" w:hAnsi="宋体" w:eastAsia="仿宋_GB2312" w:cs="仿宋_GB2312"/>
                <w:color w:val="000000" w:themeColor="text1"/>
                <w:sz w:val="24"/>
                <w14:textFill>
                  <w14:solidFill>
                    <w14:schemeClr w14:val="tx1"/>
                  </w14:solidFill>
                </w14:textFill>
              </w:rPr>
              <w:t>，</w:t>
            </w:r>
            <w:r>
              <w:rPr>
                <w:rFonts w:ascii="仿宋_GB2312" w:hAnsi="宋体" w:eastAsia="仿宋_GB2312" w:cs="仿宋_GB2312"/>
                <w:color w:val="000000" w:themeColor="text1"/>
                <w:sz w:val="24"/>
                <w14:textFill>
                  <w14:solidFill>
                    <w14:schemeClr w14:val="tx1"/>
                  </w14:solidFill>
                </w14:textFill>
              </w:rPr>
              <w:t>功能模块</w:t>
            </w:r>
            <w:r>
              <w:rPr>
                <w:rFonts w:hint="eastAsia" w:ascii="仿宋_GB2312" w:hAnsi="宋体" w:eastAsia="仿宋_GB2312" w:cs="仿宋_GB2312"/>
                <w:color w:val="000000" w:themeColor="text1"/>
                <w:sz w:val="24"/>
                <w14:textFill>
                  <w14:solidFill>
                    <w14:schemeClr w14:val="tx1"/>
                  </w14:solidFill>
                </w14:textFill>
              </w:rPr>
              <w:t>较</w:t>
            </w:r>
            <w:r>
              <w:rPr>
                <w:rFonts w:ascii="仿宋_GB2312" w:hAnsi="宋体" w:eastAsia="仿宋_GB2312" w:cs="仿宋_GB2312"/>
                <w:color w:val="000000" w:themeColor="text1"/>
                <w:sz w:val="24"/>
                <w14:textFill>
                  <w14:solidFill>
                    <w14:schemeClr w14:val="tx1"/>
                  </w14:solidFill>
                </w14:textFill>
              </w:rPr>
              <w:t>完整</w:t>
            </w:r>
            <w:r>
              <w:rPr>
                <w:rFonts w:hint="eastAsia" w:ascii="仿宋_GB2312" w:hAnsi="宋体" w:eastAsia="仿宋_GB2312" w:cs="仿宋_GB2312"/>
                <w:color w:val="000000" w:themeColor="text1"/>
                <w:sz w:val="24"/>
                <w14:textFill>
                  <w14:solidFill>
                    <w14:schemeClr w14:val="tx1"/>
                  </w14:solidFill>
                </w14:textFill>
              </w:rPr>
              <w:t>，</w:t>
            </w:r>
            <w:r>
              <w:rPr>
                <w:rFonts w:ascii="仿宋_GB2312" w:hAnsi="宋体" w:eastAsia="仿宋_GB2312" w:cs="仿宋_GB2312"/>
                <w:color w:val="000000" w:themeColor="text1"/>
                <w:sz w:val="24"/>
                <w14:textFill>
                  <w14:solidFill>
                    <w14:schemeClr w14:val="tx1"/>
                  </w14:solidFill>
                </w14:textFill>
              </w:rPr>
              <w:t>覆盖内容</w:t>
            </w:r>
            <w:r>
              <w:rPr>
                <w:rFonts w:hint="eastAsia" w:ascii="仿宋_GB2312" w:hAnsi="宋体" w:eastAsia="仿宋_GB2312" w:cs="仿宋_GB2312"/>
                <w:color w:val="000000" w:themeColor="text1"/>
                <w:sz w:val="24"/>
                <w14:textFill>
                  <w14:solidFill>
                    <w14:schemeClr w14:val="tx1"/>
                  </w14:solidFill>
                </w14:textFill>
              </w:rPr>
              <w:t>较</w:t>
            </w:r>
            <w:r>
              <w:rPr>
                <w:rFonts w:ascii="仿宋_GB2312" w:hAnsi="宋体" w:eastAsia="仿宋_GB2312" w:cs="仿宋_GB2312"/>
                <w:color w:val="000000" w:themeColor="text1"/>
                <w:sz w:val="24"/>
                <w14:textFill>
                  <w14:solidFill>
                    <w14:schemeClr w14:val="tx1"/>
                  </w14:solidFill>
                </w14:textFill>
              </w:rPr>
              <w:t>完善</w:t>
            </w:r>
            <w:r>
              <w:rPr>
                <w:rFonts w:hint="eastAsia" w:ascii="仿宋_GB2312" w:hAnsi="宋体" w:eastAsia="仿宋_GB2312" w:cs="仿宋_GB2312"/>
                <w:color w:val="000000" w:themeColor="text1"/>
                <w:sz w:val="24"/>
                <w14:textFill>
                  <w14:solidFill>
                    <w14:schemeClr w14:val="tx1"/>
                  </w14:solidFill>
                </w14:textFill>
              </w:rPr>
              <w:t>的，</w:t>
            </w:r>
            <w:r>
              <w:rPr>
                <w:rFonts w:ascii="仿宋_GB2312" w:hAnsi="宋体" w:eastAsia="仿宋_GB2312" w:cs="仿宋_GB2312"/>
                <w:color w:val="000000" w:themeColor="text1"/>
                <w:sz w:val="24"/>
                <w14:textFill>
                  <w14:solidFill>
                    <w14:schemeClr w14:val="tx1"/>
                  </w14:solidFill>
                </w14:textFill>
              </w:rPr>
              <w:t>得</w:t>
            </w:r>
            <w:r>
              <w:rPr>
                <w:rFonts w:hint="eastAsia" w:ascii="仿宋_GB2312" w:hAnsi="宋体" w:eastAsia="仿宋_GB2312" w:cs="仿宋_GB2312"/>
                <w:color w:val="000000" w:themeColor="text1"/>
                <w:sz w:val="24"/>
                <w14:textFill>
                  <w14:solidFill>
                    <w14:schemeClr w14:val="tx1"/>
                  </w14:solidFill>
                </w14:textFill>
              </w:rPr>
              <w:t>4</w:t>
            </w:r>
            <w:r>
              <w:rPr>
                <w:rFonts w:ascii="仿宋_GB2312" w:hAnsi="宋体" w:eastAsia="仿宋_GB2312" w:cs="仿宋_GB2312"/>
                <w:color w:val="000000" w:themeColor="text1"/>
                <w:sz w:val="24"/>
                <w14:textFill>
                  <w14:solidFill>
                    <w14:schemeClr w14:val="tx1"/>
                  </w14:solidFill>
                </w14:textFill>
              </w:rPr>
              <w:t>分；</w:t>
            </w:r>
          </w:p>
          <w:p>
            <w:pPr>
              <w:snapToGrid w:val="0"/>
              <w:spacing w:line="300" w:lineRule="auto"/>
              <w:ind w:firstLine="480" w:firstLineChars="200"/>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3.应用系统设计基本</w:t>
            </w:r>
            <w:r>
              <w:rPr>
                <w:rFonts w:ascii="仿宋_GB2312" w:hAnsi="宋体" w:eastAsia="仿宋_GB2312" w:cs="仿宋_GB2312"/>
                <w:color w:val="000000" w:themeColor="text1"/>
                <w:sz w:val="24"/>
                <w14:textFill>
                  <w14:solidFill>
                    <w14:schemeClr w14:val="tx1"/>
                  </w14:solidFill>
                </w14:textFill>
              </w:rPr>
              <w:t>合理</w:t>
            </w:r>
            <w:r>
              <w:rPr>
                <w:rFonts w:hint="eastAsia" w:ascii="仿宋_GB2312" w:hAnsi="宋体" w:eastAsia="仿宋_GB2312" w:cs="仿宋_GB2312"/>
                <w:color w:val="000000" w:themeColor="text1"/>
                <w:sz w:val="24"/>
                <w14:textFill>
                  <w14:solidFill>
                    <w14:schemeClr w14:val="tx1"/>
                  </w14:solidFill>
                </w14:textFill>
              </w:rPr>
              <w:t>，</w:t>
            </w:r>
            <w:r>
              <w:rPr>
                <w:rFonts w:ascii="仿宋_GB2312" w:hAnsi="宋体" w:eastAsia="仿宋_GB2312" w:cs="仿宋_GB2312"/>
                <w:color w:val="000000" w:themeColor="text1"/>
                <w:sz w:val="24"/>
                <w14:textFill>
                  <w14:solidFill>
                    <w14:schemeClr w14:val="tx1"/>
                  </w14:solidFill>
                </w14:textFill>
              </w:rPr>
              <w:t>功能模块</w:t>
            </w:r>
            <w:r>
              <w:rPr>
                <w:rFonts w:hint="eastAsia" w:ascii="仿宋_GB2312" w:hAnsi="宋体" w:eastAsia="仿宋_GB2312" w:cs="仿宋_GB2312"/>
                <w:color w:val="000000" w:themeColor="text1"/>
                <w:sz w:val="24"/>
                <w14:textFill>
                  <w14:solidFill>
                    <w14:schemeClr w14:val="tx1"/>
                  </w14:solidFill>
                </w14:textFill>
              </w:rPr>
              <w:t>基本</w:t>
            </w:r>
            <w:r>
              <w:rPr>
                <w:rFonts w:ascii="仿宋_GB2312" w:hAnsi="宋体" w:eastAsia="仿宋_GB2312" w:cs="仿宋_GB2312"/>
                <w:color w:val="000000" w:themeColor="text1"/>
                <w:sz w:val="24"/>
                <w14:textFill>
                  <w14:solidFill>
                    <w14:schemeClr w14:val="tx1"/>
                  </w14:solidFill>
                </w14:textFill>
              </w:rPr>
              <w:t>完整</w:t>
            </w:r>
            <w:r>
              <w:rPr>
                <w:rFonts w:hint="eastAsia" w:ascii="仿宋_GB2312" w:hAnsi="宋体" w:eastAsia="仿宋_GB2312" w:cs="仿宋_GB2312"/>
                <w:color w:val="000000" w:themeColor="text1"/>
                <w:sz w:val="24"/>
                <w14:textFill>
                  <w14:solidFill>
                    <w14:schemeClr w14:val="tx1"/>
                  </w14:solidFill>
                </w14:textFill>
              </w:rPr>
              <w:t>，</w:t>
            </w:r>
            <w:r>
              <w:rPr>
                <w:rFonts w:ascii="仿宋_GB2312" w:hAnsi="宋体" w:eastAsia="仿宋_GB2312" w:cs="仿宋_GB2312"/>
                <w:color w:val="000000" w:themeColor="text1"/>
                <w:sz w:val="24"/>
                <w14:textFill>
                  <w14:solidFill>
                    <w14:schemeClr w14:val="tx1"/>
                  </w14:solidFill>
                </w14:textFill>
              </w:rPr>
              <w:t>覆盖内容完善</w:t>
            </w:r>
            <w:r>
              <w:rPr>
                <w:rFonts w:hint="eastAsia" w:ascii="仿宋_GB2312" w:hAnsi="宋体" w:eastAsia="仿宋_GB2312" w:cs="仿宋_GB2312"/>
                <w:color w:val="000000" w:themeColor="text1"/>
                <w:sz w:val="24"/>
                <w14:textFill>
                  <w14:solidFill>
                    <w14:schemeClr w14:val="tx1"/>
                  </w14:solidFill>
                </w14:textFill>
              </w:rPr>
              <w:t>的，</w:t>
            </w:r>
            <w:r>
              <w:rPr>
                <w:rFonts w:ascii="仿宋_GB2312" w:hAnsi="宋体" w:eastAsia="仿宋_GB2312" w:cs="仿宋_GB2312"/>
                <w:color w:val="000000" w:themeColor="text1"/>
                <w:sz w:val="24"/>
                <w14:textFill>
                  <w14:solidFill>
                    <w14:schemeClr w14:val="tx1"/>
                  </w14:solidFill>
                </w14:textFill>
              </w:rPr>
              <w:t>得</w:t>
            </w:r>
            <w:r>
              <w:rPr>
                <w:rFonts w:hint="eastAsia" w:ascii="仿宋_GB2312" w:hAnsi="宋体" w:eastAsia="仿宋_GB2312" w:cs="仿宋_GB2312"/>
                <w:color w:val="000000" w:themeColor="text1"/>
                <w:sz w:val="24"/>
                <w14:textFill>
                  <w14:solidFill>
                    <w14:schemeClr w14:val="tx1"/>
                  </w14:solidFill>
                </w14:textFill>
              </w:rPr>
              <w:t>2</w:t>
            </w:r>
            <w:r>
              <w:rPr>
                <w:rFonts w:ascii="仿宋_GB2312" w:hAnsi="宋体" w:eastAsia="仿宋_GB2312" w:cs="仿宋_GB2312"/>
                <w:color w:val="000000" w:themeColor="text1"/>
                <w:sz w:val="24"/>
                <w14:textFill>
                  <w14:solidFill>
                    <w14:schemeClr w14:val="tx1"/>
                  </w14:solidFill>
                </w14:textFill>
              </w:rPr>
              <w:t>分；</w:t>
            </w:r>
          </w:p>
          <w:p>
            <w:pPr>
              <w:snapToGrid w:val="0"/>
              <w:spacing w:line="300" w:lineRule="auto"/>
              <w:ind w:firstLine="480" w:firstLineChars="200"/>
              <w:textAlignment w:val="center"/>
              <w:rPr>
                <w:rFonts w:ascii="仿宋_GB2312" w:hAnsi="宋体" w:eastAsia="仿宋_GB2312" w:cs="仿宋_GB2312"/>
                <w:color w:val="000000" w:themeColor="text1"/>
                <w:sz w:val="24"/>
                <w14:textFill>
                  <w14:solidFill>
                    <w14:schemeClr w14:val="tx1"/>
                  </w14:solidFill>
                </w14:textFill>
              </w:rPr>
            </w:pPr>
            <w:r>
              <w:rPr>
                <w:rFonts w:ascii="仿宋_GB2312" w:hAnsi="宋体" w:eastAsia="仿宋_GB2312" w:cs="仿宋_GB2312"/>
                <w:color w:val="000000" w:themeColor="text1"/>
                <w:sz w:val="24"/>
                <w14:textFill>
                  <w14:solidFill>
                    <w14:schemeClr w14:val="tx1"/>
                  </w14:solidFill>
                </w14:textFill>
              </w:rPr>
              <w:t>4.未提供应用系统设计或提供内容与本项目不符,不得分。</w:t>
            </w:r>
          </w:p>
        </w:tc>
        <w:tc>
          <w:tcPr>
            <w:tcW w:w="4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仿宋_GB2312" w:eastAsia="仿宋_GB2312" w:hAnsiTheme="minorHAnsi" w:cstheme="minorBidi"/>
                <w:color w:val="000000" w:themeColor="text1"/>
                <w:kern w:val="0"/>
                <w:sz w:val="24"/>
                <w14:textFill>
                  <w14:solidFill>
                    <w14:schemeClr w14:val="tx1"/>
                  </w14:solidFill>
                </w14:textFill>
              </w:rPr>
            </w:pPr>
            <w:r>
              <w:rPr>
                <w:rFonts w:hint="eastAsia" w:ascii="仿宋_GB2312" w:eastAsia="仿宋_GB2312" w:hAnsiTheme="minorHAnsi" w:cstheme="minorBidi"/>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58" w:type="pct"/>
            <w:vMerge w:val="continue"/>
            <w:tcBorders>
              <w:left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p>
        </w:tc>
        <w:tc>
          <w:tcPr>
            <w:tcW w:w="658" w:type="pct"/>
            <w:tcBorders>
              <w:top w:val="single" w:color="auto" w:sz="4" w:space="0"/>
              <w:left w:val="single" w:color="auto" w:sz="4" w:space="0"/>
              <w:right w:val="single" w:color="auto" w:sz="4" w:space="0"/>
            </w:tcBorders>
            <w:vAlign w:val="center"/>
          </w:tcPr>
          <w:p>
            <w:pPr>
              <w:pStyle w:val="45"/>
              <w:snapToGrid w:val="0"/>
              <w:spacing w:line="300" w:lineRule="auto"/>
              <w:jc w:val="center"/>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业务流程设计</w:t>
            </w:r>
          </w:p>
        </w:tc>
        <w:tc>
          <w:tcPr>
            <w:tcW w:w="3279" w:type="pct"/>
            <w:tcBorders>
              <w:top w:val="single" w:color="auto" w:sz="4" w:space="0"/>
              <w:left w:val="single" w:color="auto" w:sz="4" w:space="0"/>
              <w:bottom w:val="single" w:color="auto" w:sz="4" w:space="0"/>
              <w:right w:val="single" w:color="auto" w:sz="4" w:space="0"/>
            </w:tcBorders>
            <w:vAlign w:val="center"/>
          </w:tcPr>
          <w:p>
            <w:pPr>
              <w:pStyle w:val="45"/>
              <w:snapToGrid w:val="0"/>
              <w:spacing w:line="300" w:lineRule="auto"/>
              <w:ind w:firstLine="480" w:firstLineChars="200"/>
              <w:rPr>
                <w:rFonts w:ascii="仿宋_GB2312" w:eastAsia="仿宋_GB2312"/>
                <w:color w:val="000000" w:themeColor="text1"/>
                <w14:textFill>
                  <w14:solidFill>
                    <w14:schemeClr w14:val="tx1"/>
                  </w14:solidFill>
                </w14:textFill>
              </w:rPr>
            </w:pPr>
            <w:r>
              <w:rPr>
                <w:rFonts w:ascii="仿宋_GB2312" w:hAnsi="宋体" w:eastAsia="仿宋_GB2312" w:cs="仿宋_GB2312"/>
                <w:color w:val="000000" w:themeColor="text1"/>
                <w14:textFill>
                  <w14:solidFill>
                    <w14:schemeClr w14:val="tx1"/>
                  </w14:solidFill>
                </w14:textFill>
              </w:rPr>
              <w:t>对辽宁省运管服平台业务流程体系充分理解，能提供监督检查系统、综合评价系统的详细细致流程图</w:t>
            </w:r>
            <w:r>
              <w:rPr>
                <w:rFonts w:ascii="仿宋_GB2312" w:eastAsia="仿宋_GB2312"/>
                <w:color w:val="000000" w:themeColor="text1"/>
                <w14:textFill>
                  <w14:solidFill>
                    <w14:schemeClr w14:val="tx1"/>
                  </w14:solidFill>
                </w14:textFill>
              </w:rPr>
              <w:t>等内容，</w:t>
            </w:r>
            <w:r>
              <w:rPr>
                <w:rFonts w:hint="eastAsia" w:ascii="仿宋_GB2312" w:eastAsia="仿宋_GB2312" w:hAnsiTheme="minorHAnsi" w:cstheme="minorBidi"/>
                <w:color w:val="000000" w:themeColor="text1"/>
                <w14:textFill>
                  <w14:solidFill>
                    <w14:schemeClr w14:val="tx1"/>
                  </w14:solidFill>
                </w14:textFill>
              </w:rPr>
              <w:t>进行评审:</w:t>
            </w:r>
          </w:p>
          <w:p>
            <w:pPr>
              <w:snapToGrid w:val="0"/>
              <w:spacing w:line="300"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1.</w:t>
            </w:r>
            <w:r>
              <w:rPr>
                <w:rFonts w:ascii="仿宋_GB2312" w:hAnsi="宋体" w:eastAsia="仿宋_GB2312" w:cs="仿宋_GB2312"/>
                <w:color w:val="000000" w:themeColor="text1"/>
                <w:sz w:val="24"/>
                <w14:textFill>
                  <w14:solidFill>
                    <w14:schemeClr w14:val="tx1"/>
                  </w14:solidFill>
                </w14:textFill>
              </w:rPr>
              <w:t>业务流程设计合理，与实际业务相符的，</w:t>
            </w:r>
            <w:r>
              <w:rPr>
                <w:rFonts w:hint="eastAsia" w:ascii="仿宋_GB2312" w:hAnsi="黑体" w:eastAsia="仿宋_GB2312"/>
                <w:color w:val="000000" w:themeColor="text1"/>
                <w:sz w:val="24"/>
                <w14:textFill>
                  <w14:solidFill>
                    <w14:schemeClr w14:val="tx1"/>
                  </w14:solidFill>
                </w14:textFill>
              </w:rPr>
              <w:t>实施路径清晰全面的，</w:t>
            </w:r>
            <w:r>
              <w:rPr>
                <w:rFonts w:ascii="仿宋_GB2312" w:hAnsi="宋体" w:eastAsia="仿宋_GB2312" w:cs="仿宋_GB2312"/>
                <w:color w:val="000000" w:themeColor="text1"/>
                <w:sz w:val="24"/>
                <w14:textFill>
                  <w14:solidFill>
                    <w14:schemeClr w14:val="tx1"/>
                  </w14:solidFill>
                </w14:textFill>
              </w:rPr>
              <w:t>得6分；</w:t>
            </w:r>
          </w:p>
          <w:p>
            <w:pPr>
              <w:snapToGrid w:val="0"/>
              <w:spacing w:line="300"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2.业务</w:t>
            </w:r>
            <w:r>
              <w:rPr>
                <w:rFonts w:ascii="仿宋_GB2312" w:hAnsi="宋体" w:eastAsia="仿宋_GB2312" w:cs="仿宋_GB2312"/>
                <w:color w:val="000000" w:themeColor="text1"/>
                <w:sz w:val="24"/>
                <w14:textFill>
                  <w14:solidFill>
                    <w14:schemeClr w14:val="tx1"/>
                  </w14:solidFill>
                </w14:textFill>
              </w:rPr>
              <w:t>流程设计较合理，与实际业务匹配度较好，</w:t>
            </w:r>
            <w:r>
              <w:rPr>
                <w:rFonts w:hint="eastAsia" w:ascii="仿宋_GB2312" w:hAnsi="黑体" w:eastAsia="仿宋_GB2312"/>
                <w:color w:val="000000" w:themeColor="text1"/>
                <w:sz w:val="24"/>
                <w14:textFill>
                  <w14:solidFill>
                    <w14:schemeClr w14:val="tx1"/>
                  </w14:solidFill>
                </w14:textFill>
              </w:rPr>
              <w:t>实施路径较清晰的，</w:t>
            </w:r>
            <w:r>
              <w:rPr>
                <w:rFonts w:ascii="仿宋_GB2312" w:hAnsi="宋体" w:eastAsia="仿宋_GB2312" w:cs="仿宋_GB2312"/>
                <w:color w:val="000000" w:themeColor="text1"/>
                <w:sz w:val="24"/>
                <w14:textFill>
                  <w14:solidFill>
                    <w14:schemeClr w14:val="tx1"/>
                  </w14:solidFill>
                </w14:textFill>
              </w:rPr>
              <w:t>得</w:t>
            </w:r>
            <w:r>
              <w:rPr>
                <w:rFonts w:hint="eastAsia" w:ascii="仿宋_GB2312" w:hAnsi="宋体" w:eastAsia="仿宋_GB2312" w:cs="仿宋_GB2312"/>
                <w:color w:val="000000" w:themeColor="text1"/>
                <w:sz w:val="24"/>
                <w14:textFill>
                  <w14:solidFill>
                    <w14:schemeClr w14:val="tx1"/>
                  </w14:solidFill>
                </w14:textFill>
              </w:rPr>
              <w:t>4</w:t>
            </w:r>
            <w:r>
              <w:rPr>
                <w:rFonts w:ascii="仿宋_GB2312" w:hAnsi="宋体" w:eastAsia="仿宋_GB2312" w:cs="仿宋_GB2312"/>
                <w:color w:val="000000" w:themeColor="text1"/>
                <w:sz w:val="24"/>
                <w14:textFill>
                  <w14:solidFill>
                    <w14:schemeClr w14:val="tx1"/>
                  </w14:solidFill>
                </w14:textFill>
              </w:rPr>
              <w:t>分；</w:t>
            </w:r>
          </w:p>
          <w:p>
            <w:pPr>
              <w:snapToGrid w:val="0"/>
              <w:spacing w:line="300"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3.业务</w:t>
            </w:r>
            <w:r>
              <w:rPr>
                <w:rFonts w:ascii="仿宋_GB2312" w:hAnsi="宋体" w:eastAsia="仿宋_GB2312" w:cs="仿宋_GB2312"/>
                <w:color w:val="000000" w:themeColor="text1"/>
                <w:sz w:val="24"/>
                <w14:textFill>
                  <w14:solidFill>
                    <w14:schemeClr w14:val="tx1"/>
                  </w14:solidFill>
                </w14:textFill>
              </w:rPr>
              <w:t>流程设计</w:t>
            </w:r>
            <w:r>
              <w:rPr>
                <w:rFonts w:hint="eastAsia" w:ascii="仿宋_GB2312" w:hAnsi="宋体" w:eastAsia="仿宋_GB2312" w:cs="仿宋_GB2312"/>
                <w:color w:val="000000" w:themeColor="text1"/>
                <w:sz w:val="24"/>
                <w14:textFill>
                  <w14:solidFill>
                    <w14:schemeClr w14:val="tx1"/>
                  </w14:solidFill>
                </w14:textFill>
              </w:rPr>
              <w:t>基本</w:t>
            </w:r>
            <w:r>
              <w:rPr>
                <w:rFonts w:ascii="仿宋_GB2312" w:hAnsi="宋体" w:eastAsia="仿宋_GB2312" w:cs="仿宋_GB2312"/>
                <w:color w:val="000000" w:themeColor="text1"/>
                <w:sz w:val="24"/>
                <w14:textFill>
                  <w14:solidFill>
                    <w14:schemeClr w14:val="tx1"/>
                  </w14:solidFill>
                </w14:textFill>
              </w:rPr>
              <w:t>合理，与实际业务</w:t>
            </w:r>
            <w:r>
              <w:rPr>
                <w:rFonts w:hint="eastAsia" w:ascii="仿宋_GB2312" w:hAnsi="宋体" w:eastAsia="仿宋_GB2312" w:cs="仿宋_GB2312"/>
                <w:color w:val="000000" w:themeColor="text1"/>
                <w:sz w:val="24"/>
                <w14:textFill>
                  <w14:solidFill>
                    <w14:schemeClr w14:val="tx1"/>
                  </w14:solidFill>
                </w14:textFill>
              </w:rPr>
              <w:t>具有</w:t>
            </w:r>
            <w:r>
              <w:rPr>
                <w:rFonts w:ascii="仿宋_GB2312" w:hAnsi="宋体" w:eastAsia="仿宋_GB2312" w:cs="仿宋_GB2312"/>
                <w:color w:val="000000" w:themeColor="text1"/>
                <w:sz w:val="24"/>
                <w14:textFill>
                  <w14:solidFill>
                    <w14:schemeClr w14:val="tx1"/>
                  </w14:solidFill>
                </w14:textFill>
              </w:rPr>
              <w:t>匹配度，</w:t>
            </w:r>
            <w:r>
              <w:rPr>
                <w:rFonts w:hint="eastAsia" w:ascii="仿宋_GB2312" w:hAnsi="黑体" w:eastAsia="仿宋_GB2312"/>
                <w:color w:val="000000" w:themeColor="text1"/>
                <w:sz w:val="24"/>
                <w14:textFill>
                  <w14:solidFill>
                    <w14:schemeClr w14:val="tx1"/>
                  </w14:solidFill>
                </w14:textFill>
              </w:rPr>
              <w:t>实施路径</w:t>
            </w:r>
            <w:r>
              <w:rPr>
                <w:rFonts w:hint="eastAsia" w:ascii="仿宋_GB2312" w:hAnsi="黑体" w:eastAsia="仿宋_GB2312"/>
                <w:color w:val="000000" w:themeColor="text1"/>
                <w:sz w:val="24"/>
                <w:lang w:val="en-US" w:eastAsia="zh-CN"/>
                <w14:textFill>
                  <w14:solidFill>
                    <w14:schemeClr w14:val="tx1"/>
                  </w14:solidFill>
                </w14:textFill>
              </w:rPr>
              <w:t>基本</w:t>
            </w:r>
            <w:r>
              <w:rPr>
                <w:rFonts w:hint="eastAsia" w:ascii="仿宋_GB2312" w:hAnsi="黑体" w:eastAsia="仿宋_GB2312"/>
                <w:color w:val="000000" w:themeColor="text1"/>
                <w:sz w:val="24"/>
                <w14:textFill>
                  <w14:solidFill>
                    <w14:schemeClr w14:val="tx1"/>
                  </w14:solidFill>
                </w14:textFill>
              </w:rPr>
              <w:t>清晰的，</w:t>
            </w:r>
            <w:r>
              <w:rPr>
                <w:rFonts w:ascii="仿宋_GB2312" w:hAnsi="宋体" w:eastAsia="仿宋_GB2312" w:cs="仿宋_GB2312"/>
                <w:color w:val="000000" w:themeColor="text1"/>
                <w:sz w:val="24"/>
                <w14:textFill>
                  <w14:solidFill>
                    <w14:schemeClr w14:val="tx1"/>
                  </w14:solidFill>
                </w14:textFill>
              </w:rPr>
              <w:t>得</w:t>
            </w:r>
            <w:r>
              <w:rPr>
                <w:rFonts w:hint="eastAsia" w:ascii="仿宋_GB2312" w:hAnsi="宋体" w:eastAsia="仿宋_GB2312" w:cs="仿宋_GB2312"/>
                <w:color w:val="000000" w:themeColor="text1"/>
                <w:sz w:val="24"/>
                <w14:textFill>
                  <w14:solidFill>
                    <w14:schemeClr w14:val="tx1"/>
                  </w14:solidFill>
                </w14:textFill>
              </w:rPr>
              <w:t>2</w:t>
            </w:r>
            <w:r>
              <w:rPr>
                <w:rFonts w:ascii="仿宋_GB2312" w:hAnsi="宋体" w:eastAsia="仿宋_GB2312" w:cs="仿宋_GB2312"/>
                <w:color w:val="000000" w:themeColor="text1"/>
                <w:sz w:val="24"/>
                <w14:textFill>
                  <w14:solidFill>
                    <w14:schemeClr w14:val="tx1"/>
                  </w14:solidFill>
                </w14:textFill>
              </w:rPr>
              <w:t>分；</w:t>
            </w:r>
          </w:p>
          <w:p>
            <w:pPr>
              <w:snapToGrid w:val="0"/>
              <w:spacing w:line="300"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ascii="仿宋_GB2312" w:hAnsi="宋体" w:eastAsia="仿宋_GB2312" w:cs="仿宋_GB2312"/>
                <w:color w:val="000000" w:themeColor="text1"/>
                <w:sz w:val="24"/>
                <w14:textFill>
                  <w14:solidFill>
                    <w14:schemeClr w14:val="tx1"/>
                  </w14:solidFill>
                </w14:textFill>
              </w:rPr>
              <w:t>4.未提供业务流程设计或提供内容与本项目不符,不得分。</w:t>
            </w:r>
          </w:p>
        </w:tc>
        <w:tc>
          <w:tcPr>
            <w:tcW w:w="4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58" w:type="pct"/>
            <w:vMerge w:val="continue"/>
            <w:tcBorders>
              <w:left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p>
        </w:tc>
        <w:tc>
          <w:tcPr>
            <w:tcW w:w="658" w:type="pct"/>
            <w:tcBorders>
              <w:top w:val="single" w:color="auto" w:sz="4" w:space="0"/>
              <w:left w:val="single" w:color="auto" w:sz="4" w:space="0"/>
              <w:bottom w:val="single" w:color="auto" w:sz="4" w:space="0"/>
              <w:right w:val="single" w:color="auto" w:sz="4" w:space="0"/>
            </w:tcBorders>
            <w:vAlign w:val="center"/>
          </w:tcPr>
          <w:p>
            <w:pPr>
              <w:pStyle w:val="45"/>
              <w:snapToGrid w:val="0"/>
              <w:spacing w:line="300" w:lineRule="auto"/>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接口设计</w:t>
            </w:r>
            <w:r>
              <w:rPr>
                <w:rFonts w:ascii="仿宋_GB2312" w:hAnsi="仿宋" w:eastAsia="仿宋_GB2312" w:cs="仿宋_GB2312"/>
                <w:color w:val="000000" w:themeColor="text1"/>
                <w14:textFill>
                  <w14:solidFill>
                    <w14:schemeClr w14:val="tx1"/>
                  </w14:solidFill>
                </w14:textFill>
              </w:rPr>
              <w:t>方案</w:t>
            </w:r>
          </w:p>
        </w:tc>
        <w:tc>
          <w:tcPr>
            <w:tcW w:w="3279" w:type="pct"/>
            <w:tcBorders>
              <w:top w:val="single" w:color="auto" w:sz="4" w:space="0"/>
              <w:left w:val="single" w:color="auto" w:sz="4" w:space="0"/>
              <w:bottom w:val="single" w:color="auto" w:sz="4" w:space="0"/>
              <w:right w:val="single" w:color="auto" w:sz="4" w:space="0"/>
            </w:tcBorders>
            <w:vAlign w:val="center"/>
          </w:tcPr>
          <w:p>
            <w:pPr>
              <w:pStyle w:val="45"/>
              <w:snapToGrid w:val="0"/>
              <w:spacing w:line="300" w:lineRule="auto"/>
              <w:ind w:firstLine="480" w:firstLineChars="200"/>
              <w:rPr>
                <w:rFonts w:ascii="仿宋_GB2312" w:hAnsi="宋体" w:eastAsia="仿宋_GB2312" w:cs="仿宋_GB2312"/>
                <w:color w:val="000000" w:themeColor="text1"/>
                <w14:textFill>
                  <w14:solidFill>
                    <w14:schemeClr w14:val="tx1"/>
                  </w14:solidFill>
                </w14:textFill>
              </w:rPr>
            </w:pPr>
            <w:r>
              <w:rPr>
                <w:rFonts w:ascii="仿宋_GB2312" w:hAnsi="仿宋" w:eastAsia="仿宋_GB2312" w:cs="仿宋_GB2312"/>
                <w:color w:val="000000" w:themeColor="text1"/>
                <w14:textFill>
                  <w14:solidFill>
                    <w14:schemeClr w14:val="tx1"/>
                  </w14:solidFill>
                </w14:textFill>
              </w:rPr>
              <w:t>结合本次项目采购需求，需要开发相关数据接口，投标人应详实描述与各地市对接接口的详细方案，对接内容和对接重点明确，清晰列出对接数据项</w:t>
            </w:r>
            <w:r>
              <w:rPr>
                <w:rFonts w:ascii="仿宋_GB2312" w:eastAsia="仿宋_GB2312"/>
                <w:color w:val="000000" w:themeColor="text1"/>
                <w14:textFill>
                  <w14:solidFill>
                    <w14:schemeClr w14:val="tx1"/>
                  </w14:solidFill>
                </w14:textFill>
              </w:rPr>
              <w:t>等内容，</w:t>
            </w:r>
            <w:r>
              <w:rPr>
                <w:rFonts w:hint="eastAsia" w:ascii="仿宋_GB2312" w:eastAsia="仿宋_GB2312" w:hAnsiTheme="minorHAnsi" w:cstheme="minorBidi"/>
                <w:color w:val="000000" w:themeColor="text1"/>
                <w14:textFill>
                  <w14:solidFill>
                    <w14:schemeClr w14:val="tx1"/>
                  </w14:solidFill>
                </w14:textFill>
              </w:rPr>
              <w:t>进行评审:</w:t>
            </w:r>
          </w:p>
          <w:p>
            <w:pPr>
              <w:pStyle w:val="45"/>
              <w:snapToGrid w:val="0"/>
              <w:spacing w:line="300" w:lineRule="auto"/>
              <w:ind w:firstLine="480" w:firstLineChars="200"/>
              <w:rPr>
                <w:rFonts w:ascii="仿宋_GB2312" w:hAnsi="仿宋"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ascii="仿宋_GB2312" w:hAnsi="仿宋_GB2312" w:eastAsia="仿宋_GB2312" w:cs="仿宋_GB2312"/>
                <w:color w:val="000000" w:themeColor="text1"/>
                <w14:textFill>
                  <w14:solidFill>
                    <w14:schemeClr w14:val="tx1"/>
                  </w14:solidFill>
                </w14:textFill>
              </w:rPr>
              <w:t>接口设计</w:t>
            </w:r>
            <w:r>
              <w:rPr>
                <w:rFonts w:ascii="仿宋_GB2312" w:hAnsi="仿宋" w:eastAsia="仿宋_GB2312" w:cs="仿宋_GB2312"/>
                <w:color w:val="000000" w:themeColor="text1"/>
                <w14:textFill>
                  <w14:solidFill>
                    <w14:schemeClr w14:val="tx1"/>
                  </w14:solidFill>
                </w14:textFill>
              </w:rPr>
              <w:t>方案详细</w:t>
            </w:r>
            <w:r>
              <w:rPr>
                <w:rFonts w:hint="eastAsia" w:ascii="仿宋_GB2312" w:hAnsi="仿宋" w:eastAsia="仿宋_GB2312" w:cs="仿宋_GB2312"/>
                <w:color w:val="000000" w:themeColor="text1"/>
                <w14:textFill>
                  <w14:solidFill>
                    <w14:schemeClr w14:val="tx1"/>
                  </w14:solidFill>
                </w14:textFill>
              </w:rPr>
              <w:t>，</w:t>
            </w:r>
            <w:r>
              <w:rPr>
                <w:rFonts w:ascii="仿宋_GB2312" w:hAnsi="仿宋" w:eastAsia="仿宋_GB2312" w:cs="仿宋_GB2312"/>
                <w:color w:val="000000" w:themeColor="text1"/>
                <w14:textFill>
                  <w14:solidFill>
                    <w14:schemeClr w14:val="tx1"/>
                  </w14:solidFill>
                </w14:textFill>
              </w:rPr>
              <w:t>对接内容和对接重点明确，清晰列出对接数据项</w:t>
            </w:r>
            <w:r>
              <w:rPr>
                <w:rFonts w:hint="eastAsia" w:ascii="仿宋_GB2312" w:hAnsi="仿宋"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lang w:bidi="ar"/>
                <w14:textFill>
                  <w14:solidFill>
                    <w14:schemeClr w14:val="tx1"/>
                  </w14:solidFill>
                </w14:textFill>
              </w:rPr>
              <w:t>满足采购需求的，</w:t>
            </w:r>
            <w:r>
              <w:rPr>
                <w:rFonts w:ascii="仿宋_GB2312" w:hAnsi="仿宋" w:eastAsia="仿宋_GB2312" w:cs="仿宋_GB2312"/>
                <w:color w:val="000000" w:themeColor="text1"/>
                <w14:textFill>
                  <w14:solidFill>
                    <w14:schemeClr w14:val="tx1"/>
                  </w14:solidFill>
                </w14:textFill>
              </w:rPr>
              <w:t>得6分；</w:t>
            </w:r>
          </w:p>
          <w:p>
            <w:pPr>
              <w:pStyle w:val="45"/>
              <w:snapToGrid w:val="0"/>
              <w:spacing w:line="300" w:lineRule="auto"/>
              <w:ind w:firstLine="480" w:firstLineChars="200"/>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2.</w:t>
            </w:r>
            <w:r>
              <w:rPr>
                <w:rFonts w:ascii="仿宋_GB2312" w:hAnsi="仿宋_GB2312" w:eastAsia="仿宋_GB2312" w:cs="仿宋_GB2312"/>
                <w:color w:val="000000" w:themeColor="text1"/>
                <w14:textFill>
                  <w14:solidFill>
                    <w14:schemeClr w14:val="tx1"/>
                  </w14:solidFill>
                </w14:textFill>
              </w:rPr>
              <w:t>接口设计</w:t>
            </w:r>
            <w:r>
              <w:rPr>
                <w:rFonts w:ascii="仿宋_GB2312" w:hAnsi="仿宋" w:eastAsia="仿宋_GB2312" w:cs="仿宋_GB2312"/>
                <w:color w:val="000000" w:themeColor="text1"/>
                <w14:textFill>
                  <w14:solidFill>
                    <w14:schemeClr w14:val="tx1"/>
                  </w14:solidFill>
                </w14:textFill>
              </w:rPr>
              <w:t>方案</w:t>
            </w:r>
            <w:r>
              <w:rPr>
                <w:rFonts w:hint="eastAsia" w:ascii="仿宋_GB2312" w:hAnsi="仿宋" w:eastAsia="仿宋_GB2312" w:cs="仿宋_GB2312"/>
                <w:color w:val="000000" w:themeColor="text1"/>
                <w14:textFill>
                  <w14:solidFill>
                    <w14:schemeClr w14:val="tx1"/>
                  </w14:solidFill>
                </w14:textFill>
              </w:rPr>
              <w:t>较</w:t>
            </w:r>
            <w:r>
              <w:rPr>
                <w:rFonts w:ascii="仿宋_GB2312" w:hAnsi="仿宋" w:eastAsia="仿宋_GB2312" w:cs="仿宋_GB2312"/>
                <w:color w:val="000000" w:themeColor="text1"/>
                <w14:textFill>
                  <w14:solidFill>
                    <w14:schemeClr w14:val="tx1"/>
                  </w14:solidFill>
                </w14:textFill>
              </w:rPr>
              <w:t>详细</w:t>
            </w:r>
            <w:r>
              <w:rPr>
                <w:rFonts w:hint="eastAsia" w:ascii="仿宋_GB2312" w:hAnsi="仿宋" w:eastAsia="仿宋_GB2312" w:cs="仿宋_GB2312"/>
                <w:color w:val="000000" w:themeColor="text1"/>
                <w14:textFill>
                  <w14:solidFill>
                    <w14:schemeClr w14:val="tx1"/>
                  </w14:solidFill>
                </w14:textFill>
              </w:rPr>
              <w:t>，</w:t>
            </w:r>
            <w:r>
              <w:rPr>
                <w:rFonts w:ascii="仿宋_GB2312" w:hAnsi="仿宋" w:eastAsia="仿宋_GB2312" w:cs="仿宋_GB2312"/>
                <w:color w:val="000000" w:themeColor="text1"/>
                <w14:textFill>
                  <w14:solidFill>
                    <w14:schemeClr w14:val="tx1"/>
                  </w14:solidFill>
                </w14:textFill>
              </w:rPr>
              <w:t>对接内容和对接重点</w:t>
            </w:r>
            <w:r>
              <w:rPr>
                <w:rFonts w:hint="eastAsia" w:ascii="仿宋_GB2312" w:hAnsi="仿宋" w:eastAsia="仿宋_GB2312" w:cs="仿宋_GB2312"/>
                <w:color w:val="000000" w:themeColor="text1"/>
                <w14:textFill>
                  <w14:solidFill>
                    <w14:schemeClr w14:val="tx1"/>
                  </w14:solidFill>
                </w14:textFill>
              </w:rPr>
              <w:t>较</w:t>
            </w:r>
            <w:r>
              <w:rPr>
                <w:rFonts w:ascii="仿宋_GB2312" w:hAnsi="仿宋" w:eastAsia="仿宋_GB2312" w:cs="仿宋_GB2312"/>
                <w:color w:val="000000" w:themeColor="text1"/>
                <w14:textFill>
                  <w14:solidFill>
                    <w14:schemeClr w14:val="tx1"/>
                  </w14:solidFill>
                </w14:textFill>
              </w:rPr>
              <w:t>明确，</w:t>
            </w:r>
            <w:r>
              <w:rPr>
                <w:rFonts w:hint="eastAsia" w:ascii="仿宋_GB2312" w:hAnsi="仿宋" w:eastAsia="仿宋_GB2312" w:cs="仿宋_GB2312"/>
                <w:color w:val="000000" w:themeColor="text1"/>
                <w14:textFill>
                  <w14:solidFill>
                    <w14:schemeClr w14:val="tx1"/>
                  </w14:solidFill>
                </w14:textFill>
              </w:rPr>
              <w:t>能够</w:t>
            </w:r>
            <w:r>
              <w:rPr>
                <w:rFonts w:ascii="仿宋_GB2312" w:hAnsi="仿宋" w:eastAsia="仿宋_GB2312" w:cs="仿宋_GB2312"/>
                <w:color w:val="000000" w:themeColor="text1"/>
                <w14:textFill>
                  <w14:solidFill>
                    <w14:schemeClr w14:val="tx1"/>
                  </w14:solidFill>
                </w14:textFill>
              </w:rPr>
              <w:t>列出对接数据项</w:t>
            </w:r>
            <w:r>
              <w:rPr>
                <w:rFonts w:hint="eastAsia" w:ascii="仿宋_GB2312" w:hAnsi="仿宋"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lang w:bidi="ar"/>
                <w14:textFill>
                  <w14:solidFill>
                    <w14:schemeClr w14:val="tx1"/>
                  </w14:solidFill>
                </w14:textFill>
              </w:rPr>
              <w:t>满足采购需求的，</w:t>
            </w:r>
            <w:r>
              <w:rPr>
                <w:rFonts w:ascii="仿宋_GB2312" w:hAnsi="仿宋" w:eastAsia="仿宋_GB2312" w:cs="仿宋_GB2312"/>
                <w:color w:val="000000" w:themeColor="text1"/>
                <w14:textFill>
                  <w14:solidFill>
                    <w14:schemeClr w14:val="tx1"/>
                  </w14:solidFill>
                </w14:textFill>
              </w:rPr>
              <w:t>得</w:t>
            </w:r>
            <w:r>
              <w:rPr>
                <w:rFonts w:hint="eastAsia" w:ascii="仿宋_GB2312" w:hAnsi="仿宋" w:eastAsia="仿宋_GB2312" w:cs="仿宋_GB2312"/>
                <w:color w:val="000000" w:themeColor="text1"/>
                <w14:textFill>
                  <w14:solidFill>
                    <w14:schemeClr w14:val="tx1"/>
                  </w14:solidFill>
                </w14:textFill>
              </w:rPr>
              <w:t>4</w:t>
            </w:r>
            <w:r>
              <w:rPr>
                <w:rFonts w:ascii="仿宋_GB2312" w:hAnsi="仿宋" w:eastAsia="仿宋_GB2312" w:cs="仿宋_GB2312"/>
                <w:color w:val="000000" w:themeColor="text1"/>
                <w14:textFill>
                  <w14:solidFill>
                    <w14:schemeClr w14:val="tx1"/>
                  </w14:solidFill>
                </w14:textFill>
              </w:rPr>
              <w:t>分；</w:t>
            </w:r>
          </w:p>
          <w:p>
            <w:pPr>
              <w:pStyle w:val="45"/>
              <w:snapToGrid w:val="0"/>
              <w:spacing w:line="300" w:lineRule="auto"/>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 xml:space="preserve">    3.</w:t>
            </w:r>
            <w:r>
              <w:rPr>
                <w:rFonts w:ascii="仿宋_GB2312" w:hAnsi="仿宋_GB2312" w:eastAsia="仿宋_GB2312" w:cs="仿宋_GB2312"/>
                <w:color w:val="000000" w:themeColor="text1"/>
                <w14:textFill>
                  <w14:solidFill>
                    <w14:schemeClr w14:val="tx1"/>
                  </w14:solidFill>
                </w14:textFill>
              </w:rPr>
              <w:t>接口设计</w:t>
            </w:r>
            <w:r>
              <w:rPr>
                <w:rFonts w:ascii="仿宋_GB2312" w:hAnsi="仿宋" w:eastAsia="仿宋_GB2312" w:cs="仿宋_GB2312"/>
                <w:color w:val="000000" w:themeColor="text1"/>
                <w14:textFill>
                  <w14:solidFill>
                    <w14:schemeClr w14:val="tx1"/>
                  </w14:solidFill>
                </w14:textFill>
              </w:rPr>
              <w:t>方案</w:t>
            </w:r>
            <w:r>
              <w:rPr>
                <w:rFonts w:hint="eastAsia" w:ascii="仿宋_GB2312" w:hAnsi="仿宋" w:eastAsia="仿宋_GB2312" w:cs="仿宋_GB2312"/>
                <w:color w:val="000000" w:themeColor="text1"/>
                <w14:textFill>
                  <w14:solidFill>
                    <w14:schemeClr w14:val="tx1"/>
                  </w14:solidFill>
                </w14:textFill>
              </w:rPr>
              <w:t>基本</w:t>
            </w:r>
            <w:r>
              <w:rPr>
                <w:rFonts w:ascii="仿宋_GB2312" w:hAnsi="仿宋" w:eastAsia="仿宋_GB2312" w:cs="仿宋_GB2312"/>
                <w:color w:val="000000" w:themeColor="text1"/>
                <w14:textFill>
                  <w14:solidFill>
                    <w14:schemeClr w14:val="tx1"/>
                  </w14:solidFill>
                </w14:textFill>
              </w:rPr>
              <w:t>详细</w:t>
            </w:r>
            <w:r>
              <w:rPr>
                <w:rFonts w:hint="eastAsia" w:ascii="仿宋_GB2312" w:hAnsi="仿宋" w:eastAsia="仿宋_GB2312" w:cs="仿宋_GB2312"/>
                <w:color w:val="000000" w:themeColor="text1"/>
                <w14:textFill>
                  <w14:solidFill>
                    <w14:schemeClr w14:val="tx1"/>
                  </w14:solidFill>
                </w14:textFill>
              </w:rPr>
              <w:t>，</w:t>
            </w:r>
            <w:r>
              <w:rPr>
                <w:rFonts w:ascii="仿宋_GB2312" w:hAnsi="仿宋" w:eastAsia="仿宋_GB2312" w:cs="仿宋_GB2312"/>
                <w:color w:val="000000" w:themeColor="text1"/>
                <w14:textFill>
                  <w14:solidFill>
                    <w14:schemeClr w14:val="tx1"/>
                  </w14:solidFill>
                </w14:textFill>
              </w:rPr>
              <w:t>对接内容和对接重点</w:t>
            </w:r>
            <w:r>
              <w:rPr>
                <w:rFonts w:hint="eastAsia" w:ascii="仿宋_GB2312" w:hAnsi="仿宋" w:eastAsia="仿宋_GB2312" w:cs="仿宋_GB2312"/>
                <w:color w:val="000000" w:themeColor="text1"/>
                <w:lang w:val="en-US" w:eastAsia="zh-CN"/>
                <w14:textFill>
                  <w14:solidFill>
                    <w14:schemeClr w14:val="tx1"/>
                  </w14:solidFill>
                </w14:textFill>
              </w:rPr>
              <w:t>相对</w:t>
            </w:r>
            <w:r>
              <w:rPr>
                <w:rFonts w:ascii="仿宋_GB2312" w:hAnsi="仿宋" w:eastAsia="仿宋_GB2312" w:cs="仿宋_GB2312"/>
                <w:color w:val="000000" w:themeColor="text1"/>
                <w14:textFill>
                  <w14:solidFill>
                    <w14:schemeClr w14:val="tx1"/>
                  </w14:solidFill>
                </w14:textFill>
              </w:rPr>
              <w:t>明确，</w:t>
            </w:r>
            <w:r>
              <w:rPr>
                <w:rFonts w:hint="eastAsia" w:ascii="仿宋_GB2312" w:hAnsi="仿宋" w:eastAsia="仿宋_GB2312" w:cs="仿宋_GB2312"/>
                <w:color w:val="000000" w:themeColor="text1"/>
                <w14:textFill>
                  <w14:solidFill>
                    <w14:schemeClr w14:val="tx1"/>
                  </w14:solidFill>
                </w14:textFill>
              </w:rPr>
              <w:t>基本</w:t>
            </w:r>
            <w:r>
              <w:rPr>
                <w:rFonts w:hint="eastAsia" w:ascii="仿宋_GB2312" w:hAnsi="仿宋_GB2312" w:eastAsia="仿宋_GB2312" w:cs="仿宋_GB2312"/>
                <w:color w:val="000000" w:themeColor="text1"/>
                <w:lang w:bidi="ar"/>
                <w14:textFill>
                  <w14:solidFill>
                    <w14:schemeClr w14:val="tx1"/>
                  </w14:solidFill>
                </w14:textFill>
              </w:rPr>
              <w:t>满足采购需求的，</w:t>
            </w:r>
            <w:r>
              <w:rPr>
                <w:rFonts w:ascii="仿宋_GB2312" w:hAnsi="仿宋" w:eastAsia="仿宋_GB2312" w:cs="仿宋_GB2312"/>
                <w:color w:val="000000" w:themeColor="text1"/>
                <w14:textFill>
                  <w14:solidFill>
                    <w14:schemeClr w14:val="tx1"/>
                  </w14:solidFill>
                </w14:textFill>
              </w:rPr>
              <w:t>得</w:t>
            </w:r>
            <w:r>
              <w:rPr>
                <w:rFonts w:hint="eastAsia" w:ascii="仿宋_GB2312" w:hAnsi="仿宋" w:eastAsia="仿宋_GB2312" w:cs="仿宋_GB2312"/>
                <w:color w:val="000000" w:themeColor="text1"/>
                <w14:textFill>
                  <w14:solidFill>
                    <w14:schemeClr w14:val="tx1"/>
                  </w14:solidFill>
                </w14:textFill>
              </w:rPr>
              <w:t>2</w:t>
            </w:r>
            <w:r>
              <w:rPr>
                <w:rFonts w:ascii="仿宋_GB2312" w:hAnsi="仿宋" w:eastAsia="仿宋_GB2312" w:cs="仿宋_GB2312"/>
                <w:color w:val="000000" w:themeColor="text1"/>
                <w14:textFill>
                  <w14:solidFill>
                    <w14:schemeClr w14:val="tx1"/>
                  </w14:solidFill>
                </w14:textFill>
              </w:rPr>
              <w:t>分；</w:t>
            </w:r>
          </w:p>
          <w:p>
            <w:pPr>
              <w:pStyle w:val="45"/>
              <w:snapToGrid w:val="0"/>
              <w:spacing w:line="300" w:lineRule="auto"/>
              <w:ind w:firstLine="480" w:firstLineChars="200"/>
              <w:rPr>
                <w:rFonts w:ascii="仿宋_GB2312" w:hAnsi="仿宋" w:eastAsia="仿宋_GB2312" w:cs="仿宋_GB2312"/>
                <w:color w:val="000000" w:themeColor="text1"/>
                <w14:textFill>
                  <w14:solidFill>
                    <w14:schemeClr w14:val="tx1"/>
                  </w14:solidFill>
                </w14:textFill>
              </w:rPr>
            </w:pPr>
            <w:r>
              <w:rPr>
                <w:rFonts w:ascii="仿宋_GB2312" w:hAnsi="宋体" w:eastAsia="仿宋_GB2312" w:cs="仿宋_GB2312"/>
                <w:color w:val="000000" w:themeColor="text1"/>
                <w14:textFill>
                  <w14:solidFill>
                    <w14:schemeClr w14:val="tx1"/>
                  </w14:solidFill>
                </w14:textFill>
              </w:rPr>
              <w:t>4.未提供接口设计方案或提供内容与本项目不符,不得分。</w:t>
            </w:r>
          </w:p>
        </w:tc>
        <w:tc>
          <w:tcPr>
            <w:tcW w:w="4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58" w:type="pct"/>
            <w:vMerge w:val="continue"/>
            <w:tcBorders>
              <w:left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p>
        </w:tc>
        <w:tc>
          <w:tcPr>
            <w:tcW w:w="658" w:type="pct"/>
            <w:tcBorders>
              <w:top w:val="single" w:color="auto" w:sz="4" w:space="0"/>
              <w:left w:val="single" w:color="auto" w:sz="4" w:space="0"/>
              <w:right w:val="single" w:color="auto" w:sz="4" w:space="0"/>
            </w:tcBorders>
            <w:vAlign w:val="center"/>
          </w:tcPr>
          <w:p>
            <w:pPr>
              <w:pStyle w:val="45"/>
              <w:snapToGrid w:val="0"/>
              <w:spacing w:line="300"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实施方案</w:t>
            </w:r>
          </w:p>
        </w:tc>
        <w:tc>
          <w:tcPr>
            <w:tcW w:w="327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ind w:firstLine="480" w:firstLineChars="200"/>
              <w:rPr>
                <w:rFonts w:ascii="仿宋_GB2312" w:eastAsia="仿宋_GB2312" w:cs="Arial"/>
                <w:color w:val="000000" w:themeColor="text1"/>
                <w:sz w:val="24"/>
                <w14:textFill>
                  <w14:solidFill>
                    <w14:schemeClr w14:val="tx1"/>
                  </w14:solidFill>
                </w14:textFill>
              </w:rPr>
            </w:pPr>
            <w:r>
              <w:rPr>
                <w:rFonts w:ascii="仿宋_GB2312" w:eastAsia="仿宋_GB2312" w:cs="Arial"/>
                <w:color w:val="000000" w:themeColor="text1"/>
                <w:sz w:val="24"/>
                <w14:textFill>
                  <w14:solidFill>
                    <w14:schemeClr w14:val="tx1"/>
                  </w14:solidFill>
                </w14:textFill>
              </w:rPr>
              <w:t>投标人针对本项目提供合理的实施方案，具有明确的、合理的项目进度计划保障措施、人员安排、培训方案等内容，进行评审:</w:t>
            </w:r>
          </w:p>
          <w:p>
            <w:pPr>
              <w:widowControl/>
              <w:adjustRightInd w:val="0"/>
              <w:snapToGrid w:val="0"/>
              <w:spacing w:line="300" w:lineRule="auto"/>
              <w:ind w:firstLine="480" w:firstLineChars="200"/>
              <w:rPr>
                <w:rFonts w:ascii="仿宋_GB2312" w:eastAsia="仿宋_GB2312" w:cs="Arial"/>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1.项目的进度计划保障措施、人员安排、培训方案清晰实用，过程控制科学规范的，得6分；</w:t>
            </w:r>
            <w:r>
              <w:rPr>
                <w:rFonts w:hint="eastAsia" w:ascii="仿宋_GB2312" w:hAnsi="仿宋_GB2312" w:eastAsia="仿宋_GB2312" w:cs="仿宋_GB2312"/>
                <w:color w:val="000000" w:themeColor="text1"/>
                <w:kern w:val="0"/>
                <w:sz w:val="24"/>
                <w:lang w:bidi="ar"/>
                <w14:textFill>
                  <w14:solidFill>
                    <w14:schemeClr w14:val="tx1"/>
                  </w14:solidFill>
                </w14:textFill>
              </w:rPr>
              <w:br w:type="textWrapping"/>
            </w:r>
            <w:r>
              <w:rPr>
                <w:rFonts w:hint="eastAsia" w:ascii="仿宋_GB2312" w:hAnsi="仿宋_GB2312" w:eastAsia="仿宋_GB2312" w:cs="仿宋_GB2312"/>
                <w:color w:val="000000" w:themeColor="text1"/>
                <w:kern w:val="0"/>
                <w:sz w:val="24"/>
                <w:lang w:bidi="ar"/>
                <w14:textFill>
                  <w14:solidFill>
                    <w14:schemeClr w14:val="tx1"/>
                  </w14:solidFill>
                </w14:textFill>
              </w:rPr>
              <w:t xml:space="preserve">    2.项目的进度计划保障措施、人员安排、培训方案较清晰，过程控制较规范的，得4分；</w:t>
            </w:r>
            <w:r>
              <w:rPr>
                <w:rFonts w:hint="eastAsia" w:ascii="仿宋_GB2312" w:hAnsi="仿宋_GB2312" w:eastAsia="仿宋_GB2312" w:cs="仿宋_GB2312"/>
                <w:color w:val="000000" w:themeColor="text1"/>
                <w:kern w:val="0"/>
                <w:sz w:val="24"/>
                <w:lang w:bidi="ar"/>
                <w14:textFill>
                  <w14:solidFill>
                    <w14:schemeClr w14:val="tx1"/>
                  </w14:solidFill>
                </w14:textFill>
              </w:rPr>
              <w:br w:type="textWrapping"/>
            </w:r>
            <w:r>
              <w:rPr>
                <w:rFonts w:hint="eastAsia" w:ascii="仿宋_GB2312" w:hAnsi="仿宋_GB2312" w:eastAsia="仿宋_GB2312" w:cs="仿宋_GB2312"/>
                <w:color w:val="000000" w:themeColor="text1"/>
                <w:kern w:val="0"/>
                <w:sz w:val="24"/>
                <w:lang w:bidi="ar"/>
                <w14:textFill>
                  <w14:solidFill>
                    <w14:schemeClr w14:val="tx1"/>
                  </w14:solidFill>
                </w14:textFill>
              </w:rPr>
              <w:t xml:space="preserve">    3.项目的进度计划保障措施、人员安排、培训方案基本清晰，过程控制基本规范的，得2分；</w:t>
            </w:r>
            <w:r>
              <w:rPr>
                <w:rFonts w:hint="eastAsia" w:ascii="仿宋_GB2312" w:hAnsi="仿宋_GB2312" w:eastAsia="仿宋_GB2312" w:cs="仿宋_GB2312"/>
                <w:color w:val="000000" w:themeColor="text1"/>
                <w:kern w:val="0"/>
                <w:sz w:val="24"/>
                <w:lang w:bidi="ar"/>
                <w14:textFill>
                  <w14:solidFill>
                    <w14:schemeClr w14:val="tx1"/>
                  </w14:solidFill>
                </w14:textFill>
              </w:rPr>
              <w:br w:type="textWrapping"/>
            </w:r>
            <w:r>
              <w:rPr>
                <w:rFonts w:hint="eastAsia" w:ascii="仿宋_GB2312" w:hAnsi="仿宋_GB2312" w:eastAsia="仿宋_GB2312" w:cs="仿宋_GB2312"/>
                <w:color w:val="000000" w:themeColor="text1"/>
                <w:kern w:val="0"/>
                <w:sz w:val="24"/>
                <w:lang w:bidi="ar"/>
                <w14:textFill>
                  <w14:solidFill>
                    <w14:schemeClr w14:val="tx1"/>
                  </w14:solidFill>
                </w14:textFill>
              </w:rPr>
              <w:t xml:space="preserve">    4.</w:t>
            </w:r>
            <w:r>
              <w:rPr>
                <w:rFonts w:hint="eastAsia" w:ascii="仿宋_GB2312" w:eastAsia="仿宋_GB2312" w:hAnsiTheme="minorHAnsi" w:cstheme="minorBidi"/>
                <w:color w:val="000000" w:themeColor="text1"/>
                <w:kern w:val="0"/>
                <w:sz w:val="24"/>
                <w14:textFill>
                  <w14:solidFill>
                    <w14:schemeClr w14:val="tx1"/>
                  </w14:solidFill>
                </w14:textFill>
              </w:rPr>
              <w:t>未提供实施方案或提供内容与本项目不符,不得分。</w:t>
            </w:r>
          </w:p>
        </w:tc>
        <w:tc>
          <w:tcPr>
            <w:tcW w:w="4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58" w:type="pct"/>
            <w:vMerge w:val="continue"/>
            <w:tcBorders>
              <w:left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p>
        </w:tc>
        <w:tc>
          <w:tcPr>
            <w:tcW w:w="658" w:type="pct"/>
            <w:tcBorders>
              <w:top w:val="single" w:color="auto" w:sz="4" w:space="0"/>
              <w:left w:val="single" w:color="auto" w:sz="4" w:space="0"/>
              <w:right w:val="single" w:color="auto" w:sz="4" w:space="0"/>
            </w:tcBorders>
            <w:vAlign w:val="center"/>
          </w:tcPr>
          <w:p>
            <w:pPr>
              <w:spacing w:line="300"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eastAsia="仿宋_GB2312" w:cs="Arial"/>
                <w:color w:val="000000" w:themeColor="text1"/>
                <w:sz w:val="24"/>
                <w14:textFill>
                  <w14:solidFill>
                    <w14:schemeClr w14:val="tx1"/>
                  </w14:solidFill>
                </w14:textFill>
              </w:rPr>
              <w:t>售后服务</w:t>
            </w:r>
          </w:p>
        </w:tc>
        <w:tc>
          <w:tcPr>
            <w:tcW w:w="3279" w:type="pct"/>
            <w:tcBorders>
              <w:top w:val="single" w:color="auto" w:sz="4" w:space="0"/>
              <w:left w:val="single" w:color="auto" w:sz="4" w:space="0"/>
              <w:bottom w:val="single" w:color="auto" w:sz="4" w:space="0"/>
              <w:right w:val="single" w:color="auto" w:sz="4" w:space="0"/>
            </w:tcBorders>
          </w:tcPr>
          <w:p>
            <w:pPr>
              <w:snapToGrid w:val="0"/>
              <w:spacing w:line="300" w:lineRule="auto"/>
              <w:ind w:firstLine="480" w:firstLineChars="200"/>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1.</w:t>
            </w:r>
            <w:r>
              <w:rPr>
                <w:rFonts w:ascii="仿宋_GB2312" w:hAnsi="宋体" w:eastAsia="仿宋_GB2312" w:cs="仿宋_GB2312"/>
                <w:color w:val="000000" w:themeColor="text1"/>
                <w:sz w:val="24"/>
                <w14:textFill>
                  <w14:solidFill>
                    <w14:schemeClr w14:val="tx1"/>
                  </w14:solidFill>
                </w14:textFill>
              </w:rPr>
              <w:t>具有完善的售后服务管理体系，能够结合本次项目建设内容，提出针对本项目的详尽的售后服务方案，得</w:t>
            </w:r>
            <w:r>
              <w:rPr>
                <w:rFonts w:hint="eastAsia" w:ascii="仿宋_GB2312" w:hAnsi="宋体" w:eastAsia="仿宋_GB2312" w:cs="仿宋_GB2312"/>
                <w:color w:val="000000" w:themeColor="text1"/>
                <w:sz w:val="24"/>
                <w14:textFill>
                  <w14:solidFill>
                    <w14:schemeClr w14:val="tx1"/>
                  </w14:solidFill>
                </w14:textFill>
              </w:rPr>
              <w:t>3</w:t>
            </w:r>
            <w:r>
              <w:rPr>
                <w:rFonts w:ascii="仿宋_GB2312" w:hAnsi="宋体" w:eastAsia="仿宋_GB2312" w:cs="仿宋_GB2312"/>
                <w:color w:val="000000" w:themeColor="text1"/>
                <w:sz w:val="24"/>
                <w14:textFill>
                  <w14:solidFill>
                    <w14:schemeClr w14:val="tx1"/>
                  </w14:solidFill>
                </w14:textFill>
              </w:rPr>
              <w:t>分，方案描述不准确不得分</w:t>
            </w:r>
            <w:r>
              <w:rPr>
                <w:rFonts w:hint="eastAsia" w:ascii="仿宋_GB2312" w:hAnsi="宋体" w:eastAsia="仿宋_GB2312" w:cs="仿宋_GB2312"/>
                <w:color w:val="000000" w:themeColor="text1"/>
                <w:sz w:val="24"/>
                <w14:textFill>
                  <w14:solidFill>
                    <w14:schemeClr w14:val="tx1"/>
                  </w14:solidFill>
                </w14:textFill>
              </w:rPr>
              <w:t>。</w:t>
            </w:r>
            <w:r>
              <w:rPr>
                <w:rFonts w:ascii="仿宋_GB2312" w:hAnsi="宋体" w:eastAsia="仿宋_GB2312" w:cs="仿宋_GB2312"/>
                <w:color w:val="000000" w:themeColor="text1"/>
                <w:sz w:val="24"/>
                <w14:textFill>
                  <w14:solidFill>
                    <w14:schemeClr w14:val="tx1"/>
                  </w14:solidFill>
                </w14:textFill>
              </w:rPr>
              <w:br w:type="textWrapping"/>
            </w:r>
            <w:r>
              <w:rPr>
                <w:rFonts w:hint="eastAsia" w:ascii="仿宋_GB2312" w:hAnsi="宋体" w:eastAsia="仿宋_GB2312" w:cs="仿宋_GB2312"/>
                <w:color w:val="000000" w:themeColor="text1"/>
                <w:sz w:val="24"/>
                <w14:textFill>
                  <w14:solidFill>
                    <w14:schemeClr w14:val="tx1"/>
                  </w14:solidFill>
                </w14:textFill>
              </w:rPr>
              <w:t xml:space="preserve">    </w:t>
            </w:r>
            <w:r>
              <w:rPr>
                <w:rFonts w:ascii="仿宋_GB2312" w:hAnsi="宋体" w:eastAsia="仿宋_GB2312" w:cs="仿宋_GB2312"/>
                <w:color w:val="000000" w:themeColor="text1"/>
                <w:sz w:val="24"/>
                <w14:textFill>
                  <w14:solidFill>
                    <w14:schemeClr w14:val="tx1"/>
                  </w14:solidFill>
                </w14:textFill>
              </w:rPr>
              <w:t>2</w:t>
            </w:r>
            <w:r>
              <w:rPr>
                <w:rFonts w:hint="eastAsia" w:ascii="仿宋_GB2312" w:hAnsi="宋体" w:eastAsia="仿宋_GB2312" w:cs="仿宋_GB2312"/>
                <w:color w:val="000000" w:themeColor="text1"/>
                <w:sz w:val="24"/>
                <w14:textFill>
                  <w14:solidFill>
                    <w14:schemeClr w14:val="tx1"/>
                  </w14:solidFill>
                </w14:textFill>
              </w:rPr>
              <w:t>.投标人承诺售后服务优于“2小时响应，4小时以内到现场，4小时以内解决问题”得3分，否则不得分。</w:t>
            </w:r>
            <w:r>
              <w:rPr>
                <w:rFonts w:hint="eastAsia" w:ascii="仿宋_GB2312" w:hAnsi="宋体" w:eastAsia="仿宋_GB2312" w:cs="仿宋_GB2312"/>
                <w:b/>
                <w:bCs/>
                <w:color w:val="000000" w:themeColor="text1"/>
                <w:sz w:val="24"/>
                <w14:textFill>
                  <w14:solidFill>
                    <w14:schemeClr w14:val="tx1"/>
                  </w14:solidFill>
                </w14:textFill>
              </w:rPr>
              <w:t>（须提供承诺书加盖投标人公章，格式自拟）</w:t>
            </w:r>
          </w:p>
        </w:tc>
        <w:tc>
          <w:tcPr>
            <w:tcW w:w="4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658" w:type="pct"/>
            <w:vMerge w:val="continue"/>
            <w:tcBorders>
              <w:left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p>
        </w:tc>
        <w:tc>
          <w:tcPr>
            <w:tcW w:w="65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auto"/>
              <w:jc w:val="center"/>
              <w:rPr>
                <w:rFonts w:ascii="仿宋_GB2312" w:eastAsia="仿宋_GB2312"/>
                <w:color w:val="000000" w:themeColor="text1"/>
                <w:kern w:val="0"/>
                <w:sz w:val="24"/>
                <w14:textFill>
                  <w14:solidFill>
                    <w14:schemeClr w14:val="tx1"/>
                  </w14:solidFill>
                </w14:textFill>
              </w:rPr>
            </w:pPr>
            <w:r>
              <w:rPr>
                <w:rFonts w:ascii="仿宋_GB2312" w:eastAsia="仿宋_GB2312"/>
                <w:color w:val="000000" w:themeColor="text1"/>
                <w:kern w:val="0"/>
                <w:sz w:val="24"/>
                <w14:textFill>
                  <w14:solidFill>
                    <w14:schemeClr w14:val="tx1"/>
                  </w14:solidFill>
                </w14:textFill>
              </w:rPr>
              <w:t>系统演示</w:t>
            </w:r>
          </w:p>
        </w:tc>
        <w:tc>
          <w:tcPr>
            <w:tcW w:w="3279" w:type="pct"/>
            <w:tcBorders>
              <w:top w:val="single" w:color="auto" w:sz="4" w:space="0"/>
              <w:left w:val="single" w:color="auto" w:sz="4" w:space="0"/>
              <w:bottom w:val="single" w:color="auto" w:sz="4" w:space="0"/>
              <w:right w:val="single" w:color="auto" w:sz="4" w:space="0"/>
            </w:tcBorders>
            <w:vAlign w:val="center"/>
          </w:tcPr>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rPr>
              <w:t>投标人基于以往案例或演示系统或播放录屏（视频文件须配有普通话旁白，对视频演示内容进行解说）或PPT讲解，演示要求表达条理清晰、业务针对性强、功能演示准确。根据投标人提供的现场演示效果及演示功能响应情况进行评分（除播放录屏演示外，其他3种演示方式均需在投标当天有专人对演示内容进行讲解），演示时间不得超过20分钟，演示电脑等设备投标人自行准备，演示功能如下：</w:t>
            </w:r>
          </w:p>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color w:val="auto"/>
              </w:rPr>
              <w:t>1.演示监督检查系统对已发布的工作进行跟踪的功能，包括各接收单位的已读未读情况、反馈情况、审核情况、挂账情况。</w:t>
            </w:r>
          </w:p>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color w:val="auto"/>
              </w:rPr>
              <w:t>（1</w:t>
            </w:r>
            <w:r>
              <w:rPr>
                <w:rFonts w:ascii="仿宋_GB2312" w:hAnsi="宋体" w:eastAsia="仿宋_GB2312" w:cs="仿宋_GB2312"/>
                <w:color w:val="auto"/>
              </w:rPr>
              <w:t>）</w:t>
            </w:r>
            <w:r>
              <w:rPr>
                <w:rFonts w:hint="eastAsia" w:ascii="仿宋_GB2312" w:hAnsi="宋体" w:eastAsia="仿宋_GB2312" w:cs="仿宋_GB2312"/>
                <w:color w:val="auto"/>
              </w:rPr>
              <w:t>演示上述全部功能，得2分；演示部分功能，得1分；</w:t>
            </w:r>
          </w:p>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color w:val="auto"/>
              </w:rPr>
              <w:t>（</w:t>
            </w:r>
            <w:r>
              <w:rPr>
                <w:rFonts w:ascii="仿宋_GB2312" w:hAnsi="宋体" w:eastAsia="仿宋_GB2312" w:cs="仿宋_GB2312"/>
                <w:color w:val="auto"/>
              </w:rPr>
              <w:t>2</w:t>
            </w:r>
            <w:r>
              <w:rPr>
                <w:rFonts w:hint="eastAsia" w:ascii="仿宋_GB2312" w:hAnsi="宋体" w:eastAsia="仿宋_GB2312" w:cs="仿宋_GB2312"/>
                <w:color w:val="auto"/>
              </w:rPr>
              <w:t>）若以PPT形式演示上述全部功能，得</w:t>
            </w:r>
            <w:r>
              <w:rPr>
                <w:rFonts w:ascii="仿宋_GB2312" w:hAnsi="宋体" w:eastAsia="仿宋_GB2312" w:cs="仿宋_GB2312"/>
                <w:color w:val="auto"/>
              </w:rPr>
              <w:t>1</w:t>
            </w:r>
            <w:r>
              <w:rPr>
                <w:rFonts w:hint="eastAsia" w:ascii="仿宋_GB2312" w:hAnsi="宋体" w:eastAsia="仿宋_GB2312" w:cs="仿宋_GB2312"/>
                <w:color w:val="auto"/>
              </w:rPr>
              <w:t>分,演示部分功能，得0</w:t>
            </w:r>
            <w:r>
              <w:rPr>
                <w:rFonts w:ascii="仿宋_GB2312" w:hAnsi="宋体" w:eastAsia="仿宋_GB2312" w:cs="仿宋_GB2312"/>
                <w:color w:val="auto"/>
              </w:rPr>
              <w:t>.5</w:t>
            </w:r>
            <w:r>
              <w:rPr>
                <w:rFonts w:hint="eastAsia" w:ascii="仿宋_GB2312" w:hAnsi="宋体" w:eastAsia="仿宋_GB2312" w:cs="仿宋_GB2312"/>
                <w:color w:val="auto"/>
              </w:rPr>
              <w:t>分；</w:t>
            </w:r>
          </w:p>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color w:val="auto"/>
              </w:rPr>
              <w:t>（3）无对应功能演示不得分。</w:t>
            </w:r>
          </w:p>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color w:val="auto"/>
              </w:rPr>
              <w:t>2.演示综合评价系统功能，按照“干净、整洁、有序、群众满意”和“市政设施、房屋建筑、交通设施、人员密集区域、群众获得感”相关评价指标的详细配置，包括指标名称、指标类型、评价方式、总分值、关联样本库类型、样本总分方式、样本抽样规则、评价要求、检查项、指标计算、评价规则、参考值。</w:t>
            </w:r>
          </w:p>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color w:val="auto"/>
              </w:rPr>
              <w:t>（1</w:t>
            </w:r>
            <w:r>
              <w:rPr>
                <w:rFonts w:ascii="仿宋_GB2312" w:hAnsi="宋体" w:eastAsia="仿宋_GB2312" w:cs="仿宋_GB2312"/>
                <w:color w:val="auto"/>
              </w:rPr>
              <w:t>）</w:t>
            </w:r>
            <w:r>
              <w:rPr>
                <w:rFonts w:hint="eastAsia" w:ascii="仿宋_GB2312" w:hAnsi="宋体" w:eastAsia="仿宋_GB2312" w:cs="仿宋_GB2312"/>
                <w:color w:val="auto"/>
              </w:rPr>
              <w:t>演示上述全部功能，得</w:t>
            </w:r>
            <w:r>
              <w:rPr>
                <w:rFonts w:ascii="仿宋_GB2312" w:hAnsi="宋体" w:eastAsia="仿宋_GB2312" w:cs="仿宋_GB2312"/>
                <w:color w:val="auto"/>
              </w:rPr>
              <w:t>4</w:t>
            </w:r>
            <w:r>
              <w:rPr>
                <w:rFonts w:hint="eastAsia" w:ascii="仿宋_GB2312" w:hAnsi="宋体" w:eastAsia="仿宋_GB2312" w:cs="仿宋_GB2312"/>
                <w:color w:val="auto"/>
              </w:rPr>
              <w:t>分；演示部分功能，得1分；</w:t>
            </w:r>
          </w:p>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color w:val="auto"/>
              </w:rPr>
              <w:t>（</w:t>
            </w:r>
            <w:r>
              <w:rPr>
                <w:rFonts w:ascii="仿宋_GB2312" w:hAnsi="宋体" w:eastAsia="仿宋_GB2312" w:cs="仿宋_GB2312"/>
                <w:color w:val="auto"/>
              </w:rPr>
              <w:t>2</w:t>
            </w:r>
            <w:r>
              <w:rPr>
                <w:rFonts w:hint="eastAsia" w:ascii="仿宋_GB2312" w:hAnsi="宋体" w:eastAsia="仿宋_GB2312" w:cs="仿宋_GB2312"/>
                <w:color w:val="auto"/>
              </w:rPr>
              <w:t>）若以PPT形式演示上述全部功能，得</w:t>
            </w:r>
            <w:r>
              <w:rPr>
                <w:rFonts w:ascii="仿宋_GB2312" w:hAnsi="宋体" w:eastAsia="仿宋_GB2312" w:cs="仿宋_GB2312"/>
                <w:color w:val="auto"/>
              </w:rPr>
              <w:t>2</w:t>
            </w:r>
            <w:r>
              <w:rPr>
                <w:rFonts w:hint="eastAsia" w:ascii="仿宋_GB2312" w:hAnsi="宋体" w:eastAsia="仿宋_GB2312" w:cs="仿宋_GB2312"/>
                <w:color w:val="auto"/>
              </w:rPr>
              <w:t>分,演示部分功能，得0</w:t>
            </w:r>
            <w:r>
              <w:rPr>
                <w:rFonts w:ascii="仿宋_GB2312" w:hAnsi="宋体" w:eastAsia="仿宋_GB2312" w:cs="仿宋_GB2312"/>
                <w:color w:val="auto"/>
              </w:rPr>
              <w:t>.5</w:t>
            </w:r>
            <w:r>
              <w:rPr>
                <w:rFonts w:hint="eastAsia" w:ascii="仿宋_GB2312" w:hAnsi="宋体" w:eastAsia="仿宋_GB2312" w:cs="仿宋_GB2312"/>
                <w:color w:val="auto"/>
              </w:rPr>
              <w:t>分；</w:t>
            </w:r>
          </w:p>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color w:val="auto"/>
              </w:rPr>
              <w:t>（3）无对应功能演示不得分。</w:t>
            </w:r>
          </w:p>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color w:val="auto"/>
              </w:rPr>
              <w:t>3.能够在手机端演示综合评价系统，可以对主次干道、背街小巷、公园、广场、农贸市场、公共厕所等实地考察样本所涵盖的检查项进行扣分，并对单个样本点得扣分情况进行汇总上报。</w:t>
            </w:r>
          </w:p>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color w:val="auto"/>
              </w:rPr>
              <w:t>（1</w:t>
            </w:r>
            <w:r>
              <w:rPr>
                <w:rFonts w:ascii="仿宋_GB2312" w:hAnsi="宋体" w:eastAsia="仿宋_GB2312" w:cs="仿宋_GB2312"/>
                <w:color w:val="auto"/>
              </w:rPr>
              <w:t>）</w:t>
            </w:r>
            <w:r>
              <w:rPr>
                <w:rFonts w:hint="eastAsia" w:ascii="仿宋_GB2312" w:hAnsi="宋体" w:eastAsia="仿宋_GB2312" w:cs="仿宋_GB2312"/>
                <w:color w:val="auto"/>
              </w:rPr>
              <w:t>演示上述全部功能，得</w:t>
            </w:r>
            <w:r>
              <w:rPr>
                <w:rFonts w:ascii="仿宋_GB2312" w:hAnsi="宋体" w:eastAsia="仿宋_GB2312" w:cs="仿宋_GB2312"/>
                <w:color w:val="auto"/>
              </w:rPr>
              <w:t>3</w:t>
            </w:r>
            <w:r>
              <w:rPr>
                <w:rFonts w:hint="eastAsia" w:ascii="仿宋_GB2312" w:hAnsi="宋体" w:eastAsia="仿宋_GB2312" w:cs="仿宋_GB2312"/>
                <w:color w:val="auto"/>
              </w:rPr>
              <w:t>分；演示部分功能，得1分；</w:t>
            </w:r>
          </w:p>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color w:val="auto"/>
              </w:rPr>
              <w:t>（</w:t>
            </w:r>
            <w:r>
              <w:rPr>
                <w:rFonts w:ascii="仿宋_GB2312" w:hAnsi="宋体" w:eastAsia="仿宋_GB2312" w:cs="仿宋_GB2312"/>
                <w:color w:val="auto"/>
              </w:rPr>
              <w:t>2</w:t>
            </w:r>
            <w:r>
              <w:rPr>
                <w:rFonts w:hint="eastAsia" w:ascii="仿宋_GB2312" w:hAnsi="宋体" w:eastAsia="仿宋_GB2312" w:cs="仿宋_GB2312"/>
                <w:color w:val="auto"/>
              </w:rPr>
              <w:t>）若以PPT形式演示上述全部功能，得</w:t>
            </w:r>
            <w:r>
              <w:rPr>
                <w:rFonts w:ascii="仿宋_GB2312" w:hAnsi="宋体" w:eastAsia="仿宋_GB2312" w:cs="仿宋_GB2312"/>
                <w:color w:val="auto"/>
              </w:rPr>
              <w:t>1.5</w:t>
            </w:r>
            <w:r>
              <w:rPr>
                <w:rFonts w:hint="eastAsia" w:ascii="仿宋_GB2312" w:hAnsi="宋体" w:eastAsia="仿宋_GB2312" w:cs="仿宋_GB2312"/>
                <w:color w:val="auto"/>
              </w:rPr>
              <w:t>分,演示部分功能，得0</w:t>
            </w:r>
            <w:r>
              <w:rPr>
                <w:rFonts w:ascii="仿宋_GB2312" w:hAnsi="宋体" w:eastAsia="仿宋_GB2312" w:cs="仿宋_GB2312"/>
                <w:color w:val="auto"/>
              </w:rPr>
              <w:t>.5</w:t>
            </w:r>
            <w:r>
              <w:rPr>
                <w:rFonts w:hint="eastAsia" w:ascii="仿宋_GB2312" w:hAnsi="宋体" w:eastAsia="仿宋_GB2312" w:cs="仿宋_GB2312"/>
                <w:color w:val="auto"/>
              </w:rPr>
              <w:t>分；</w:t>
            </w:r>
          </w:p>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color w:val="auto"/>
              </w:rPr>
              <w:t>（3）无对应功能演示不得分。</w:t>
            </w:r>
          </w:p>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color w:val="auto"/>
              </w:rPr>
              <w:t>4.演示决策建议系统功能，包括市政公用、园林绿化、市容环卫、城管执法领域决策建议“一屏统览</w:t>
            </w:r>
            <w:r>
              <w:rPr>
                <w:rFonts w:ascii="仿宋_GB2312" w:hAnsi="宋体" w:eastAsia="仿宋_GB2312" w:cs="仿宋_GB2312"/>
                <w:color w:val="auto"/>
                <w:lang w:val="en"/>
              </w:rPr>
              <w:t>”</w:t>
            </w:r>
            <w:r>
              <w:rPr>
                <w:rFonts w:hint="eastAsia" w:ascii="仿宋_GB2312" w:hAnsi="宋体" w:eastAsia="仿宋_GB2312" w:cs="仿宋_GB2312"/>
                <w:color w:val="auto"/>
              </w:rPr>
              <w:t>。</w:t>
            </w:r>
          </w:p>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color w:val="auto"/>
              </w:rPr>
              <w:t>（1</w:t>
            </w:r>
            <w:r>
              <w:rPr>
                <w:rFonts w:ascii="仿宋_GB2312" w:hAnsi="宋体" w:eastAsia="仿宋_GB2312" w:cs="仿宋_GB2312"/>
                <w:color w:val="auto"/>
              </w:rPr>
              <w:t>）</w:t>
            </w:r>
            <w:r>
              <w:rPr>
                <w:rFonts w:hint="eastAsia" w:ascii="仿宋_GB2312" w:hAnsi="宋体" w:eastAsia="仿宋_GB2312" w:cs="仿宋_GB2312"/>
                <w:color w:val="auto"/>
              </w:rPr>
              <w:t>演示上述全部功能，得</w:t>
            </w:r>
            <w:r>
              <w:rPr>
                <w:rFonts w:ascii="仿宋_GB2312" w:hAnsi="宋体" w:eastAsia="仿宋_GB2312" w:cs="仿宋_GB2312"/>
                <w:color w:val="auto"/>
              </w:rPr>
              <w:t>4</w:t>
            </w:r>
            <w:r>
              <w:rPr>
                <w:rFonts w:hint="eastAsia" w:ascii="仿宋_GB2312" w:hAnsi="宋体" w:eastAsia="仿宋_GB2312" w:cs="仿宋_GB2312"/>
                <w:color w:val="auto"/>
              </w:rPr>
              <w:t>分；演示部分功能，得1分；</w:t>
            </w:r>
          </w:p>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color w:val="auto"/>
              </w:rPr>
              <w:t>（</w:t>
            </w:r>
            <w:r>
              <w:rPr>
                <w:rFonts w:ascii="仿宋_GB2312" w:hAnsi="宋体" w:eastAsia="仿宋_GB2312" w:cs="仿宋_GB2312"/>
                <w:color w:val="auto"/>
              </w:rPr>
              <w:t>2</w:t>
            </w:r>
            <w:r>
              <w:rPr>
                <w:rFonts w:hint="eastAsia" w:ascii="仿宋_GB2312" w:hAnsi="宋体" w:eastAsia="仿宋_GB2312" w:cs="仿宋_GB2312"/>
                <w:color w:val="auto"/>
              </w:rPr>
              <w:t>）若以PPT形式演示上述全部功能，得</w:t>
            </w:r>
            <w:r>
              <w:rPr>
                <w:rFonts w:ascii="仿宋_GB2312" w:hAnsi="宋体" w:eastAsia="仿宋_GB2312" w:cs="仿宋_GB2312"/>
                <w:color w:val="auto"/>
              </w:rPr>
              <w:t>2</w:t>
            </w:r>
            <w:r>
              <w:rPr>
                <w:rFonts w:hint="eastAsia" w:ascii="仿宋_GB2312" w:hAnsi="宋体" w:eastAsia="仿宋_GB2312" w:cs="仿宋_GB2312"/>
                <w:color w:val="auto"/>
              </w:rPr>
              <w:t>分,演示部分功能，得0</w:t>
            </w:r>
            <w:r>
              <w:rPr>
                <w:rFonts w:ascii="仿宋_GB2312" w:hAnsi="宋体" w:eastAsia="仿宋_GB2312" w:cs="仿宋_GB2312"/>
                <w:color w:val="auto"/>
              </w:rPr>
              <w:t>.5</w:t>
            </w:r>
            <w:r>
              <w:rPr>
                <w:rFonts w:hint="eastAsia" w:ascii="仿宋_GB2312" w:hAnsi="宋体" w:eastAsia="仿宋_GB2312" w:cs="仿宋_GB2312"/>
                <w:color w:val="auto"/>
              </w:rPr>
              <w:t>分；</w:t>
            </w:r>
          </w:p>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color w:val="auto"/>
              </w:rPr>
              <w:t>（3）无对应功能演示不得分。</w:t>
            </w:r>
          </w:p>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color w:val="auto"/>
              </w:rPr>
              <w:t>5.演示数据交换系统功能，对数据接口进行可视化管理，包含API超市、API注册、API日志、接口合并、应用申请、应用审核功能。</w:t>
            </w:r>
          </w:p>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color w:val="auto"/>
              </w:rPr>
              <w:t>（1</w:t>
            </w:r>
            <w:r>
              <w:rPr>
                <w:rFonts w:ascii="仿宋_GB2312" w:hAnsi="宋体" w:eastAsia="仿宋_GB2312" w:cs="仿宋_GB2312"/>
                <w:color w:val="auto"/>
              </w:rPr>
              <w:t>）</w:t>
            </w:r>
            <w:r>
              <w:rPr>
                <w:rFonts w:hint="eastAsia" w:ascii="仿宋_GB2312" w:hAnsi="宋体" w:eastAsia="仿宋_GB2312" w:cs="仿宋_GB2312"/>
                <w:color w:val="auto"/>
              </w:rPr>
              <w:t>演示上述全部功能，得</w:t>
            </w:r>
            <w:r>
              <w:rPr>
                <w:rFonts w:ascii="仿宋_GB2312" w:hAnsi="宋体" w:eastAsia="仿宋_GB2312" w:cs="仿宋_GB2312"/>
                <w:color w:val="auto"/>
              </w:rPr>
              <w:t>3</w:t>
            </w:r>
            <w:r>
              <w:rPr>
                <w:rFonts w:hint="eastAsia" w:ascii="仿宋_GB2312" w:hAnsi="宋体" w:eastAsia="仿宋_GB2312" w:cs="仿宋_GB2312"/>
                <w:color w:val="auto"/>
              </w:rPr>
              <w:t>分；演示部分功能，得1分；</w:t>
            </w:r>
          </w:p>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color w:val="auto"/>
              </w:rPr>
              <w:t>（</w:t>
            </w:r>
            <w:r>
              <w:rPr>
                <w:rFonts w:ascii="仿宋_GB2312" w:hAnsi="宋体" w:eastAsia="仿宋_GB2312" w:cs="仿宋_GB2312"/>
                <w:color w:val="auto"/>
              </w:rPr>
              <w:t>2</w:t>
            </w:r>
            <w:r>
              <w:rPr>
                <w:rFonts w:hint="eastAsia" w:ascii="仿宋_GB2312" w:hAnsi="宋体" w:eastAsia="仿宋_GB2312" w:cs="仿宋_GB2312"/>
                <w:color w:val="auto"/>
              </w:rPr>
              <w:t>）若以PPT形式演示上述全部功能，得</w:t>
            </w:r>
            <w:r>
              <w:rPr>
                <w:rFonts w:ascii="仿宋_GB2312" w:hAnsi="宋体" w:eastAsia="仿宋_GB2312" w:cs="仿宋_GB2312"/>
                <w:color w:val="auto"/>
              </w:rPr>
              <w:t>1.5</w:t>
            </w:r>
            <w:r>
              <w:rPr>
                <w:rFonts w:hint="eastAsia" w:ascii="仿宋_GB2312" w:hAnsi="宋体" w:eastAsia="仿宋_GB2312" w:cs="仿宋_GB2312"/>
                <w:color w:val="auto"/>
              </w:rPr>
              <w:t>分,演示部分功能，得0</w:t>
            </w:r>
            <w:r>
              <w:rPr>
                <w:rFonts w:ascii="仿宋_GB2312" w:hAnsi="宋体" w:eastAsia="仿宋_GB2312" w:cs="仿宋_GB2312"/>
                <w:color w:val="auto"/>
              </w:rPr>
              <w:t>.5</w:t>
            </w:r>
            <w:r>
              <w:rPr>
                <w:rFonts w:hint="eastAsia" w:ascii="仿宋_GB2312" w:hAnsi="宋体" w:eastAsia="仿宋_GB2312" w:cs="仿宋_GB2312"/>
                <w:color w:val="auto"/>
              </w:rPr>
              <w:t>分；</w:t>
            </w:r>
          </w:p>
          <w:p>
            <w:pPr>
              <w:pStyle w:val="45"/>
              <w:snapToGrid w:val="0"/>
              <w:spacing w:line="300" w:lineRule="auto"/>
              <w:ind w:firstLine="480" w:firstLineChars="200"/>
              <w:rPr>
                <w:color w:val="000000" w:themeColor="text1"/>
                <w14:textFill>
                  <w14:solidFill>
                    <w14:schemeClr w14:val="tx1"/>
                  </w14:solidFill>
                </w14:textFill>
              </w:rPr>
            </w:pPr>
            <w:r>
              <w:rPr>
                <w:rFonts w:hint="eastAsia" w:ascii="仿宋_GB2312" w:hAnsi="宋体" w:eastAsia="仿宋_GB2312" w:cs="仿宋_GB2312"/>
              </w:rPr>
              <w:t>（3）无对应功能演示不得分。</w:t>
            </w:r>
          </w:p>
        </w:tc>
        <w:tc>
          <w:tcPr>
            <w:tcW w:w="4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58" w:type="pct"/>
            <w:vMerge w:val="restart"/>
            <w:tcBorders>
              <w:left w:val="single" w:color="auto" w:sz="4" w:space="0"/>
              <w:right w:val="single" w:color="auto" w:sz="4" w:space="0"/>
            </w:tcBorders>
            <w:vAlign w:val="center"/>
          </w:tcPr>
          <w:p>
            <w:pPr>
              <w:snapToGrid w:val="0"/>
              <w:spacing w:line="300"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商务部分（32分）</w:t>
            </w:r>
          </w:p>
        </w:tc>
        <w:tc>
          <w:tcPr>
            <w:tcW w:w="658"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企业</w:t>
            </w:r>
            <w:r>
              <w:rPr>
                <w:rFonts w:ascii="仿宋_GB2312" w:hAnsi="仿宋_GB2312" w:eastAsia="仿宋_GB2312" w:cs="仿宋_GB2312"/>
                <w:color w:val="000000" w:themeColor="text1"/>
                <w:kern w:val="2"/>
                <w14:textFill>
                  <w14:solidFill>
                    <w14:schemeClr w14:val="tx1"/>
                  </w14:solidFill>
                </w14:textFill>
              </w:rPr>
              <w:t>综合实力</w:t>
            </w:r>
          </w:p>
        </w:tc>
        <w:tc>
          <w:tcPr>
            <w:tcW w:w="3279" w:type="pct"/>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ind w:firstLine="480" w:firstLineChars="200"/>
              <w:jc w:val="lef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评审内容：企业综合实力；</w:t>
            </w:r>
          </w:p>
          <w:p>
            <w:pPr>
              <w:pStyle w:val="45"/>
              <w:snapToGrid w:val="0"/>
              <w:spacing w:line="300" w:lineRule="auto"/>
              <w:ind w:firstLine="48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评审标准：</w:t>
            </w:r>
          </w:p>
          <w:p>
            <w:pPr>
              <w:pStyle w:val="45"/>
              <w:snapToGrid w:val="0"/>
              <w:spacing w:line="300" w:lineRule="auto"/>
              <w:ind w:firstLine="480" w:firstLineChars="200"/>
              <w:rPr>
                <w:rFonts w:ascii="仿宋_GB2312" w:hAnsi="宋体" w:eastAsia="仿宋_GB2312" w:cs="仿宋_GB2312"/>
                <w:color w:val="auto"/>
              </w:rPr>
            </w:pPr>
            <w:r>
              <w:rPr>
                <w:rFonts w:hint="eastAsia" w:ascii="仿宋_GB2312" w:hAnsi="宋体" w:eastAsia="仿宋_GB2312" w:cs="仿宋_GB2312"/>
                <w:color w:val="auto"/>
              </w:rPr>
              <w:t>1.</w:t>
            </w:r>
            <w:r>
              <w:rPr>
                <w:rFonts w:hint="eastAsia" w:ascii="仿宋_GB2312" w:hAnsi="仿宋_GB2312" w:eastAsia="仿宋_GB2312" w:cs="仿宋_GB2312"/>
                <w:color w:val="auto"/>
                <w:kern w:val="0"/>
                <w:sz w:val="24"/>
                <w:lang w:bidi="ar"/>
              </w:rPr>
              <w:t>投标人具有有效期内</w:t>
            </w:r>
            <w:r>
              <w:rPr>
                <w:rFonts w:ascii="仿宋_GB2312" w:hAnsi="宋体" w:eastAsia="仿宋_GB2312" w:cs="仿宋_GB2312"/>
                <w:color w:val="auto"/>
              </w:rPr>
              <w:t>质量管理体系认证证书，得0.5分</w:t>
            </w:r>
            <w:r>
              <w:rPr>
                <w:rFonts w:hint="eastAsia" w:ascii="仿宋_GB2312" w:hAnsi="宋体" w:eastAsia="仿宋_GB2312" w:cs="仿宋_GB2312"/>
                <w:color w:val="auto"/>
              </w:rPr>
              <w:t>。</w:t>
            </w:r>
          </w:p>
          <w:p>
            <w:pPr>
              <w:pStyle w:val="45"/>
              <w:snapToGrid w:val="0"/>
              <w:spacing w:line="300" w:lineRule="auto"/>
              <w:ind w:firstLine="48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auto"/>
              </w:rPr>
              <w:t>2.</w:t>
            </w:r>
            <w:r>
              <w:rPr>
                <w:rFonts w:hint="eastAsia" w:ascii="仿宋_GB2312" w:hAnsi="仿宋_GB2312" w:eastAsia="仿宋_GB2312" w:cs="仿宋_GB2312"/>
                <w:color w:val="auto"/>
                <w:kern w:val="0"/>
                <w:sz w:val="24"/>
                <w:lang w:bidi="ar"/>
              </w:rPr>
              <w:t>投标人具有有效期内</w:t>
            </w:r>
            <w:r>
              <w:rPr>
                <w:rFonts w:ascii="仿宋_GB2312" w:hAnsi="宋体" w:eastAsia="仿宋_GB2312" w:cs="仿宋_GB2312"/>
                <w:color w:val="auto"/>
              </w:rPr>
              <w:t>环境管理体系认证证书，得0.5分</w:t>
            </w:r>
            <w:r>
              <w:rPr>
                <w:rFonts w:hint="eastAsia" w:ascii="仿宋_GB2312" w:hAnsi="宋体" w:eastAsia="仿宋_GB2312" w:cs="仿宋_GB2312"/>
                <w:color w:val="auto"/>
              </w:rPr>
              <w:t>。</w:t>
            </w:r>
            <w:r>
              <w:rPr>
                <w:rFonts w:ascii="仿宋_GB2312" w:hAnsi="宋体" w:eastAsia="仿宋_GB2312" w:cs="仿宋_GB2312"/>
                <w:color w:val="auto"/>
              </w:rPr>
              <w:br w:type="textWrapping"/>
            </w:r>
            <w:r>
              <w:rPr>
                <w:rFonts w:hint="eastAsia" w:ascii="仿宋_GB2312" w:hAnsi="宋体" w:eastAsia="仿宋_GB2312" w:cs="仿宋_GB2312"/>
                <w:color w:val="auto"/>
              </w:rPr>
              <w:t xml:space="preserve">    3.</w:t>
            </w:r>
            <w:r>
              <w:rPr>
                <w:rFonts w:hint="eastAsia" w:ascii="仿宋_GB2312" w:hAnsi="仿宋_GB2312" w:eastAsia="仿宋_GB2312" w:cs="仿宋_GB2312"/>
                <w:color w:val="auto"/>
                <w:kern w:val="0"/>
                <w:sz w:val="24"/>
                <w:lang w:bidi="ar"/>
              </w:rPr>
              <w:t>投标人具有有效期内</w:t>
            </w:r>
            <w:r>
              <w:rPr>
                <w:rFonts w:ascii="仿宋_GB2312" w:hAnsi="宋体" w:eastAsia="仿宋_GB2312" w:cs="仿宋_GB2312"/>
                <w:color w:val="auto"/>
              </w:rPr>
              <w:t>职业健康安全管理体系认证证书，得0.5分</w:t>
            </w:r>
            <w:r>
              <w:rPr>
                <w:rFonts w:hint="eastAsia" w:ascii="仿宋_GB2312" w:hAnsi="宋体" w:eastAsia="仿宋_GB2312" w:cs="仿宋_GB2312"/>
                <w:color w:val="auto"/>
              </w:rPr>
              <w:t>。</w:t>
            </w:r>
            <w:r>
              <w:rPr>
                <w:rFonts w:ascii="仿宋_GB2312" w:hAnsi="宋体" w:eastAsia="仿宋_GB2312" w:cs="仿宋_GB2312"/>
                <w:color w:val="auto"/>
              </w:rPr>
              <w:br w:type="textWrapping"/>
            </w:r>
            <w:r>
              <w:rPr>
                <w:rFonts w:hint="eastAsia" w:ascii="仿宋_GB2312" w:hAnsi="宋体" w:eastAsia="仿宋_GB2312" w:cs="仿宋_GB2312"/>
                <w:color w:val="auto"/>
              </w:rPr>
              <w:t xml:space="preserve">    4.</w:t>
            </w:r>
            <w:r>
              <w:rPr>
                <w:rFonts w:hint="eastAsia" w:ascii="仿宋_GB2312" w:hAnsi="仿宋_GB2312" w:eastAsia="仿宋_GB2312" w:cs="仿宋_GB2312"/>
                <w:color w:val="auto"/>
                <w:kern w:val="0"/>
                <w:sz w:val="24"/>
                <w:lang w:bidi="ar"/>
              </w:rPr>
              <w:t>投标人具有有效期内</w:t>
            </w:r>
            <w:r>
              <w:rPr>
                <w:rFonts w:ascii="仿宋_GB2312" w:hAnsi="宋体" w:eastAsia="仿宋_GB2312" w:cs="仿宋_GB2312"/>
                <w:color w:val="auto"/>
              </w:rPr>
              <w:t>信息技术服务管理体系认证证书，得0.5分</w:t>
            </w:r>
            <w:r>
              <w:rPr>
                <w:rFonts w:hint="eastAsia" w:ascii="仿宋_GB2312" w:hAnsi="宋体" w:eastAsia="仿宋_GB2312" w:cs="仿宋_GB2312"/>
                <w:color w:val="auto"/>
              </w:rPr>
              <w:t>。</w:t>
            </w:r>
            <w:r>
              <w:rPr>
                <w:rFonts w:ascii="仿宋_GB2312" w:hAnsi="宋体" w:eastAsia="仿宋_GB2312" w:cs="仿宋_GB2312"/>
                <w:color w:val="auto"/>
              </w:rPr>
              <w:br w:type="textWrapping"/>
            </w:r>
            <w:r>
              <w:rPr>
                <w:rFonts w:hint="eastAsia" w:ascii="仿宋_GB2312" w:hAnsi="宋体" w:eastAsia="仿宋_GB2312" w:cs="仿宋_GB2312"/>
                <w:color w:val="auto"/>
              </w:rPr>
              <w:t xml:space="preserve">    5.</w:t>
            </w:r>
            <w:r>
              <w:rPr>
                <w:rFonts w:hint="eastAsia" w:ascii="仿宋_GB2312" w:hAnsi="仿宋_GB2312" w:eastAsia="仿宋_GB2312" w:cs="仿宋_GB2312"/>
                <w:color w:val="auto"/>
                <w:kern w:val="0"/>
                <w:sz w:val="24"/>
                <w:lang w:bidi="ar"/>
              </w:rPr>
              <w:t>投标人具有有效期内</w:t>
            </w:r>
            <w:r>
              <w:rPr>
                <w:rFonts w:ascii="仿宋_GB2312" w:hAnsi="宋体" w:eastAsia="仿宋_GB2312" w:cs="仿宋_GB2312"/>
                <w:color w:val="auto"/>
              </w:rPr>
              <w:t>信</w:t>
            </w:r>
            <w:r>
              <w:rPr>
                <w:rFonts w:ascii="仿宋_GB2312" w:hAnsi="宋体" w:eastAsia="仿宋_GB2312" w:cs="仿宋_GB2312"/>
                <w:color w:val="000000" w:themeColor="text1"/>
                <w14:textFill>
                  <w14:solidFill>
                    <w14:schemeClr w14:val="tx1"/>
                  </w14:solidFill>
                </w14:textFill>
              </w:rPr>
              <w:t>息安全管理体系认证证书，得0.5分</w:t>
            </w:r>
            <w:r>
              <w:rPr>
                <w:rFonts w:hint="eastAsia" w:ascii="仿宋_GB2312" w:hAnsi="宋体" w:eastAsia="仿宋_GB2312" w:cs="仿宋_GB2312"/>
                <w:color w:val="000000" w:themeColor="text1"/>
                <w14:textFill>
                  <w14:solidFill>
                    <w14:schemeClr w14:val="tx1"/>
                  </w14:solidFill>
                </w14:textFill>
              </w:rPr>
              <w:t>。</w:t>
            </w:r>
          </w:p>
          <w:p>
            <w:pPr>
              <w:pStyle w:val="45"/>
              <w:snapToGrid w:val="0"/>
              <w:spacing w:line="300" w:lineRule="auto"/>
              <w:ind w:firstLine="48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6.</w:t>
            </w:r>
            <w:r>
              <w:rPr>
                <w:rFonts w:ascii="仿宋_GB2312" w:hAnsi="宋体" w:eastAsia="仿宋_GB2312" w:cs="仿宋_GB2312"/>
                <w:color w:val="000000" w:themeColor="text1"/>
                <w14:textFill>
                  <w14:solidFill>
                    <w14:schemeClr w14:val="tx1"/>
                  </w14:solidFill>
                </w14:textFill>
              </w:rPr>
              <w:t>投标人具有信息系统建设和服务能力等级证书，能力达到优秀级（CS4）及以上</w:t>
            </w:r>
            <w:r>
              <w:rPr>
                <w:rFonts w:hint="eastAsia" w:ascii="仿宋_GB2312" w:hAnsi="宋体" w:eastAsia="仿宋_GB2312" w:cs="仿宋_GB2312"/>
                <w:color w:val="000000" w:themeColor="text1"/>
                <w14:textFill>
                  <w14:solidFill>
                    <w14:schemeClr w14:val="tx1"/>
                  </w14:solidFill>
                </w14:textFill>
              </w:rPr>
              <w:t>的，</w:t>
            </w:r>
            <w:r>
              <w:rPr>
                <w:rFonts w:ascii="仿宋_GB2312" w:hAnsi="宋体" w:eastAsia="仿宋_GB2312" w:cs="仿宋_GB2312"/>
                <w:color w:val="000000" w:themeColor="text1"/>
                <w14:textFill>
                  <w14:solidFill>
                    <w14:schemeClr w14:val="tx1"/>
                  </w14:solidFill>
                </w14:textFill>
              </w:rPr>
              <w:t>得</w:t>
            </w:r>
            <w:r>
              <w:rPr>
                <w:rFonts w:hint="eastAsia" w:ascii="仿宋_GB2312" w:hAnsi="宋体" w:eastAsia="仿宋_GB2312" w:cs="仿宋_GB2312"/>
                <w:color w:val="000000" w:themeColor="text1"/>
                <w14:textFill>
                  <w14:solidFill>
                    <w14:schemeClr w14:val="tx1"/>
                  </w14:solidFill>
                </w14:textFill>
              </w:rPr>
              <w:t>1.5</w:t>
            </w:r>
            <w:r>
              <w:rPr>
                <w:rFonts w:ascii="仿宋_GB2312" w:hAnsi="宋体" w:eastAsia="仿宋_GB2312" w:cs="仿宋_GB2312"/>
                <w:color w:val="000000" w:themeColor="text1"/>
                <w14:textFill>
                  <w14:solidFill>
                    <w14:schemeClr w14:val="tx1"/>
                  </w14:solidFill>
                </w14:textFill>
              </w:rPr>
              <w:t>分；能力达到良好级（CS3）及以下</w:t>
            </w:r>
            <w:r>
              <w:rPr>
                <w:rFonts w:hint="eastAsia" w:ascii="仿宋_GB2312" w:hAnsi="宋体" w:eastAsia="仿宋_GB2312" w:cs="仿宋_GB2312"/>
                <w:color w:val="000000" w:themeColor="text1"/>
                <w14:textFill>
                  <w14:solidFill>
                    <w14:schemeClr w14:val="tx1"/>
                  </w14:solidFill>
                </w14:textFill>
              </w:rPr>
              <w:t>的，得</w:t>
            </w:r>
            <w:r>
              <w:rPr>
                <w:rFonts w:ascii="仿宋_GB2312" w:hAnsi="宋体" w:eastAsia="仿宋_GB2312" w:cs="仿宋_GB2312"/>
                <w:color w:val="000000" w:themeColor="text1"/>
                <w14:textFill>
                  <w14:solidFill>
                    <w14:schemeClr w14:val="tx1"/>
                  </w14:solidFill>
                </w14:textFill>
              </w:rPr>
              <w:t>1分</w:t>
            </w:r>
            <w:r>
              <w:rPr>
                <w:rFonts w:hint="eastAsia" w:ascii="仿宋_GB2312" w:hAnsi="宋体" w:eastAsia="仿宋_GB2312" w:cs="仿宋_GB2312"/>
                <w:color w:val="000000" w:themeColor="text1"/>
                <w14:textFill>
                  <w14:solidFill>
                    <w14:schemeClr w14:val="tx1"/>
                  </w14:solidFill>
                </w14:textFill>
              </w:rPr>
              <w:t>，未提供不得分</w:t>
            </w:r>
            <w:r>
              <w:rPr>
                <w:rFonts w:ascii="仿宋_GB2312" w:hAnsi="宋体" w:eastAsia="仿宋_GB2312" w:cs="仿宋_GB2312"/>
                <w:color w:val="000000" w:themeColor="text1"/>
                <w14:textFill>
                  <w14:solidFill>
                    <w14:schemeClr w14:val="tx1"/>
                  </w14:solidFill>
                </w14:textFill>
              </w:rPr>
              <w:t>。</w:t>
            </w:r>
          </w:p>
          <w:p>
            <w:pPr>
              <w:pStyle w:val="16"/>
              <w:snapToGrid w:val="0"/>
              <w:spacing w:before="0" w:beforeAutospacing="0" w:after="0" w:afterAutospacing="0" w:line="300" w:lineRule="auto"/>
              <w:ind w:firstLine="480" w:firstLineChars="200"/>
              <w:rPr>
                <w:rFonts w:ascii="仿宋_GB2312" w:eastAsia="仿宋_GB2312" w:cs="仿宋_GB2312"/>
                <w:color w:val="auto"/>
              </w:rPr>
            </w:pPr>
            <w:r>
              <w:rPr>
                <w:rFonts w:hint="eastAsia" w:ascii="仿宋_GB2312" w:eastAsia="仿宋_GB2312" w:cs="仿宋_GB2312"/>
                <w:color w:val="000000" w:themeColor="text1"/>
                <w14:textFill>
                  <w14:solidFill>
                    <w14:schemeClr w14:val="tx1"/>
                  </w14:solidFill>
                </w14:textFill>
              </w:rPr>
              <w:t>7.投标人具备软件成熟度模型CMMI5级认证证书的，得2分，CMMI4级认证证书的，得1分。</w:t>
            </w:r>
            <w:r>
              <w:rPr>
                <w:rFonts w:hint="eastAsia" w:ascii="仿宋_GB2312" w:eastAsia="仿宋_GB2312" w:cs="仿宋_GB2312"/>
                <w:color w:val="000000" w:themeColor="text1"/>
                <w14:textFill>
                  <w14:solidFill>
                    <w14:schemeClr w14:val="tx1"/>
                  </w14:solidFill>
                </w14:textFill>
              </w:rPr>
              <w:br w:type="textWrapping"/>
            </w:r>
            <w:r>
              <w:rPr>
                <w:rFonts w:hint="eastAsia" w:ascii="仿宋_GB2312" w:eastAsia="仿宋_GB2312" w:cs="仿宋_GB2312"/>
                <w:color w:val="000000" w:themeColor="text1"/>
                <w:lang w:bidi="ar"/>
                <w14:textFill>
                  <w14:solidFill>
                    <w14:schemeClr w14:val="tx1"/>
                  </w14:solidFill>
                </w14:textFill>
              </w:rPr>
              <w:t xml:space="preserve">    8.投标人具有</w:t>
            </w:r>
            <w:r>
              <w:rPr>
                <w:rFonts w:hint="eastAsia" w:ascii="仿宋_GB2312" w:eastAsia="仿宋_GB2312" w:cs="仿宋_GB2312"/>
                <w:color w:val="auto"/>
                <w:lang w:bidi="ar"/>
              </w:rPr>
              <w:t>ITSS 信息技术服务运行维护标准符合性证书二级及以上级别证书的，得1分。</w:t>
            </w:r>
          </w:p>
          <w:p>
            <w:pPr>
              <w:spacing w:line="300" w:lineRule="auto"/>
              <w:ind w:firstLine="480" w:firstLineChars="200"/>
              <w:jc w:val="left"/>
              <w:rPr>
                <w:rFonts w:ascii="仿宋_GB2312" w:hAnsi="仿宋_GB2312" w:eastAsia="仿宋_GB2312" w:cs="仿宋_GB2312"/>
                <w:color w:val="000000" w:themeColor="text1"/>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注：以上须提供相关证书复印件加盖投标人公章。</w:t>
            </w:r>
          </w:p>
        </w:tc>
        <w:tc>
          <w:tcPr>
            <w:tcW w:w="402"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58" w:type="pct"/>
            <w:vMerge w:val="continue"/>
            <w:tcBorders>
              <w:left w:val="single" w:color="auto" w:sz="4" w:space="0"/>
              <w:right w:val="single" w:color="auto" w:sz="4" w:space="0"/>
            </w:tcBorders>
            <w:vAlign w:val="center"/>
          </w:tcPr>
          <w:p>
            <w:pPr>
              <w:snapToGrid w:val="0"/>
              <w:spacing w:line="300" w:lineRule="auto"/>
              <w:jc w:val="center"/>
              <w:rPr>
                <w:rFonts w:ascii="仿宋_GB2312" w:hAnsi="仿宋_GB2312" w:eastAsia="仿宋_GB2312" w:cs="仿宋_GB2312"/>
                <w:color w:val="000000" w:themeColor="text1"/>
                <w:sz w:val="24"/>
                <w14:textFill>
                  <w14:solidFill>
                    <w14:schemeClr w14:val="tx1"/>
                  </w14:solidFill>
                </w14:textFill>
              </w:rPr>
            </w:pPr>
          </w:p>
        </w:tc>
        <w:tc>
          <w:tcPr>
            <w:tcW w:w="658"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企业能力</w:t>
            </w:r>
          </w:p>
        </w:tc>
        <w:tc>
          <w:tcPr>
            <w:tcW w:w="3279" w:type="pct"/>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ind w:firstLine="480" w:firstLineChars="200"/>
              <w:jc w:val="lef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评审内容：企业能力；</w:t>
            </w:r>
          </w:p>
          <w:p>
            <w:pPr>
              <w:widowControl/>
              <w:snapToGrid w:val="0"/>
              <w:spacing w:line="300" w:lineRule="auto"/>
              <w:ind w:firstLine="480" w:firstLineChars="200"/>
              <w:jc w:val="left"/>
              <w:rPr>
                <w:rFonts w:ascii="仿宋_GB2312" w:hAnsi="仿宋_GB2312" w:eastAsia="仿宋_GB2312" w:cs="仿宋_GB2312"/>
                <w:color w:val="000000" w:themeColor="text1"/>
                <w:sz w:val="24"/>
                <w:lang w:bidi="ar"/>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评审标准：</w:t>
            </w:r>
            <w:r>
              <w:rPr>
                <w:rFonts w:ascii="仿宋_GB2312" w:hAnsi="仿宋_GB2312" w:eastAsia="仿宋_GB2312" w:cs="仿宋_GB2312"/>
                <w:color w:val="000000" w:themeColor="text1"/>
                <w:sz w:val="24"/>
                <w:lang w:bidi="ar"/>
                <w14:textFill>
                  <w14:solidFill>
                    <w14:schemeClr w14:val="tx1"/>
                  </w14:solidFill>
                </w14:textFill>
              </w:rPr>
              <w:t>投标人参与过与本项目相关的信息化国家标准或行业标准编制，每提供1个得0.5分，最高得2分。</w:t>
            </w:r>
            <w:r>
              <w:rPr>
                <w:rFonts w:ascii="仿宋_GB2312" w:hAnsi="仿宋_GB2312" w:eastAsia="仿宋_GB2312" w:cs="仿宋_GB2312"/>
                <w:color w:val="000000" w:themeColor="text1"/>
                <w:sz w:val="24"/>
                <w:lang w:bidi="ar"/>
                <w14:textFill>
                  <w14:solidFill>
                    <w14:schemeClr w14:val="tx1"/>
                  </w14:solidFill>
                </w14:textFill>
              </w:rPr>
              <w:br w:type="textWrapping"/>
            </w:r>
            <w:r>
              <w:rPr>
                <w:rFonts w:hint="eastAsia" w:ascii="仿宋_GB2312" w:hAnsi="仿宋_GB2312" w:eastAsia="仿宋_GB2312" w:cs="仿宋_GB2312"/>
                <w:color w:val="000000" w:themeColor="text1"/>
                <w:sz w:val="24"/>
                <w:lang w:bidi="ar"/>
                <w14:textFill>
                  <w14:solidFill>
                    <w14:schemeClr w14:val="tx1"/>
                  </w14:solidFill>
                </w14:textFill>
              </w:rPr>
              <w:t xml:space="preserve">    </w:t>
            </w:r>
            <w:r>
              <w:rPr>
                <w:rFonts w:ascii="仿宋_GB2312" w:hAnsi="仿宋_GB2312" w:eastAsia="仿宋_GB2312" w:cs="仿宋_GB2312"/>
                <w:b/>
                <w:bCs/>
                <w:color w:val="000000" w:themeColor="text1"/>
                <w:sz w:val="24"/>
                <w:lang w:bidi="ar"/>
                <w14:textFill>
                  <w14:solidFill>
                    <w14:schemeClr w14:val="tx1"/>
                  </w14:solidFill>
                </w14:textFill>
              </w:rPr>
              <w:t>注：</w:t>
            </w:r>
            <w:r>
              <w:rPr>
                <w:rFonts w:hint="eastAsia" w:ascii="仿宋_GB2312" w:hAnsi="仿宋_GB2312" w:eastAsia="仿宋_GB2312" w:cs="仿宋_GB2312"/>
                <w:b/>
                <w:bCs/>
                <w:color w:val="000000" w:themeColor="text1"/>
                <w:kern w:val="0"/>
                <w:sz w:val="24"/>
                <w14:textFill>
                  <w14:solidFill>
                    <w14:schemeClr w14:val="tx1"/>
                  </w14:solidFill>
                </w14:textFill>
              </w:rPr>
              <w:t>以上须</w:t>
            </w:r>
            <w:r>
              <w:rPr>
                <w:rFonts w:ascii="仿宋_GB2312" w:hAnsi="仿宋_GB2312" w:eastAsia="仿宋_GB2312" w:cs="仿宋_GB2312"/>
                <w:b/>
                <w:bCs/>
                <w:color w:val="000000" w:themeColor="text1"/>
                <w:sz w:val="24"/>
                <w:lang w:bidi="ar"/>
                <w14:textFill>
                  <w14:solidFill>
                    <w14:schemeClr w14:val="tx1"/>
                  </w14:solidFill>
                </w14:textFill>
              </w:rPr>
              <w:t>提供标准（至少包含标准封面、标准起草单位名单页）的复印件并加盖投标人公章，不提供或不按要求提供相关证明材料的本项不得分。</w:t>
            </w:r>
          </w:p>
        </w:tc>
        <w:tc>
          <w:tcPr>
            <w:tcW w:w="402"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58" w:type="pct"/>
            <w:vMerge w:val="continue"/>
            <w:tcBorders>
              <w:left w:val="single" w:color="auto" w:sz="4" w:space="0"/>
              <w:right w:val="single" w:color="auto" w:sz="4" w:space="0"/>
            </w:tcBorders>
            <w:vAlign w:val="center"/>
          </w:tcPr>
          <w:p>
            <w:pPr>
              <w:snapToGrid w:val="0"/>
              <w:spacing w:line="300" w:lineRule="auto"/>
              <w:jc w:val="center"/>
              <w:rPr>
                <w:rFonts w:ascii="仿宋_GB2312" w:hAnsi="仿宋_GB2312" w:eastAsia="仿宋_GB2312" w:cs="仿宋_GB2312"/>
                <w:color w:val="000000" w:themeColor="text1"/>
                <w:sz w:val="24"/>
                <w14:textFill>
                  <w14:solidFill>
                    <w14:schemeClr w14:val="tx1"/>
                  </w14:solidFill>
                </w14:textFill>
              </w:rPr>
            </w:pPr>
          </w:p>
        </w:tc>
        <w:tc>
          <w:tcPr>
            <w:tcW w:w="658"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软件著作权登记证书</w:t>
            </w:r>
          </w:p>
        </w:tc>
        <w:tc>
          <w:tcPr>
            <w:tcW w:w="3279" w:type="pct"/>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ind w:firstLine="480" w:firstLineChars="200"/>
              <w:jc w:val="lef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评审内容：软件著作权登记证书；</w:t>
            </w:r>
          </w:p>
          <w:p>
            <w:pPr>
              <w:widowControl/>
              <w:snapToGrid w:val="0"/>
              <w:spacing w:line="300" w:lineRule="auto"/>
              <w:ind w:firstLine="480" w:firstLineChars="200"/>
              <w:jc w:val="left"/>
              <w:rPr>
                <w:rFonts w:ascii="宋体" w:hAnsi="宋体" w:eastAsia="宋体" w:cs="宋体"/>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评审标准：</w:t>
            </w:r>
            <w:r>
              <w:rPr>
                <w:rFonts w:hint="eastAsia" w:ascii="仿宋_GB2312" w:hAnsi="仿宋_GB2312" w:eastAsia="仿宋_GB2312" w:cs="仿宋_GB2312"/>
                <w:color w:val="000000" w:themeColor="text1"/>
                <w:kern w:val="0"/>
                <w:sz w:val="24"/>
                <w:lang w:bidi="ar"/>
                <w14:textFill>
                  <w14:solidFill>
                    <w14:schemeClr w14:val="tx1"/>
                  </w14:solidFill>
                </w14:textFill>
              </w:rPr>
              <w:t>投标人具有</w:t>
            </w:r>
            <w:r>
              <w:rPr>
                <w:rFonts w:ascii="仿宋_GB2312" w:hAnsi="仿宋_GB2312" w:eastAsia="仿宋_GB2312" w:cs="仿宋_GB2312"/>
                <w:color w:val="000000" w:themeColor="text1"/>
                <w:sz w:val="24"/>
                <w:lang w:bidi="ar"/>
                <w14:textFill>
                  <w14:solidFill>
                    <w14:schemeClr w14:val="tx1"/>
                  </w14:solidFill>
                </w14:textFill>
              </w:rPr>
              <w:t>城市运行管理服务平台项目相关建设内容的软件著作权登记证书</w:t>
            </w:r>
            <w:r>
              <w:rPr>
                <w:rFonts w:hint="eastAsia" w:ascii="仿宋_GB2312" w:hAnsi="仿宋_GB2312" w:eastAsia="仿宋_GB2312" w:cs="仿宋_GB2312"/>
                <w:color w:val="000000" w:themeColor="text1"/>
                <w:kern w:val="0"/>
                <w:sz w:val="24"/>
                <w:lang w:bidi="ar"/>
                <w14:textFill>
                  <w14:solidFill>
                    <w14:schemeClr w14:val="tx1"/>
                  </w14:solidFill>
                </w14:textFill>
              </w:rPr>
              <w:t>（包含</w:t>
            </w:r>
            <w:r>
              <w:rPr>
                <w:rFonts w:ascii="仿宋_GB2312" w:hAnsi="仿宋_GB2312" w:eastAsia="仿宋_GB2312" w:cs="仿宋_GB2312"/>
                <w:color w:val="000000" w:themeColor="text1"/>
                <w:sz w:val="24"/>
                <w:lang w:bidi="ar"/>
                <w14:textFill>
                  <w14:solidFill>
                    <w14:schemeClr w14:val="tx1"/>
                  </w14:solidFill>
                </w14:textFill>
              </w:rPr>
              <w:t>省级城市运行管理服务平台要求建设的业务指导系统、监督检查系统、监测分析系统、综合评价系统、决策建议系统、数据交换系统、数据汇聚系统、应用维护系统等关键字的系统软件著作权</w:t>
            </w:r>
            <w:r>
              <w:rPr>
                <w:rFonts w:hint="eastAsia" w:ascii="仿宋_GB2312" w:hAnsi="仿宋_GB2312" w:eastAsia="仿宋_GB2312" w:cs="仿宋_GB2312"/>
                <w:color w:val="000000" w:themeColor="text1"/>
                <w:kern w:val="0"/>
                <w:sz w:val="24"/>
                <w:lang w:bidi="ar"/>
                <w14:textFill>
                  <w14:solidFill>
                    <w14:schemeClr w14:val="tx1"/>
                  </w14:solidFill>
                </w14:textFill>
              </w:rPr>
              <w:t>），每提供一类证书得1分，满分为5分，未提供不得分。</w:t>
            </w:r>
          </w:p>
          <w:p>
            <w:pPr>
              <w:widowControl/>
              <w:snapToGrid w:val="0"/>
              <w:spacing w:line="300" w:lineRule="auto"/>
              <w:ind w:firstLine="480" w:firstLineChars="200"/>
              <w:jc w:val="left"/>
              <w:rPr>
                <w:rFonts w:ascii="仿宋_GB2312" w:hAnsi="仿宋_GB2312" w:eastAsia="仿宋_GB2312" w:cs="仿宋_GB2312"/>
                <w:color w:val="000000" w:themeColor="text1"/>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注：以上须提供国家版权局颁发的软件著作权登记证书复印件加盖投标人公章。</w:t>
            </w:r>
          </w:p>
        </w:tc>
        <w:tc>
          <w:tcPr>
            <w:tcW w:w="402"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58" w:type="pct"/>
            <w:vMerge w:val="continue"/>
            <w:tcBorders>
              <w:left w:val="single" w:color="auto" w:sz="4" w:space="0"/>
              <w:right w:val="single" w:color="auto" w:sz="4" w:space="0"/>
            </w:tcBorders>
            <w:vAlign w:val="center"/>
          </w:tcPr>
          <w:p>
            <w:pPr>
              <w:snapToGrid w:val="0"/>
              <w:spacing w:line="300" w:lineRule="auto"/>
              <w:jc w:val="center"/>
              <w:rPr>
                <w:rFonts w:ascii="仿宋_GB2312" w:hAnsi="仿宋_GB2312" w:eastAsia="仿宋_GB2312" w:cs="仿宋_GB2312"/>
                <w:color w:val="000000" w:themeColor="text1"/>
                <w:sz w:val="24"/>
                <w14:textFill>
                  <w14:solidFill>
                    <w14:schemeClr w14:val="tx1"/>
                  </w14:solidFill>
                </w14:textFill>
              </w:rPr>
            </w:pPr>
          </w:p>
        </w:tc>
        <w:tc>
          <w:tcPr>
            <w:tcW w:w="658"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项目负责人</w:t>
            </w:r>
          </w:p>
        </w:tc>
        <w:tc>
          <w:tcPr>
            <w:tcW w:w="3279" w:type="pct"/>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ind w:firstLine="480" w:firstLineChars="200"/>
              <w:jc w:val="left"/>
              <w:rPr>
                <w:rFonts w:ascii="仿宋_GB2312" w:hAnsi="仿宋" w:eastAsia="仿宋_GB2312"/>
                <w:color w:val="auto"/>
                <w:sz w:val="24"/>
              </w:rPr>
            </w:pPr>
            <w:r>
              <w:rPr>
                <w:rFonts w:hint="eastAsia" w:ascii="仿宋_GB2312" w:hAnsi="仿宋" w:eastAsia="仿宋_GB2312"/>
                <w:color w:val="auto"/>
                <w:sz w:val="24"/>
              </w:rPr>
              <w:t>评审内容：项目负责人；</w:t>
            </w:r>
          </w:p>
          <w:p>
            <w:pPr>
              <w:widowControl/>
              <w:snapToGrid w:val="0"/>
              <w:spacing w:line="300" w:lineRule="auto"/>
              <w:ind w:firstLine="480" w:firstLineChars="200"/>
              <w:jc w:val="left"/>
              <w:rPr>
                <w:rFonts w:ascii="仿宋_GB2312" w:hAnsi="仿宋_GB2312" w:eastAsia="仿宋_GB2312" w:cs="仿宋_GB2312"/>
                <w:b/>
                <w:bCs/>
                <w:color w:val="auto"/>
                <w:sz w:val="24"/>
                <w:lang w:bidi="ar"/>
              </w:rPr>
            </w:pPr>
            <w:r>
              <w:rPr>
                <w:rFonts w:hint="eastAsia" w:ascii="仿宋_GB2312" w:hAnsi="仿宋_GB2312" w:eastAsia="仿宋_GB2312" w:cs="仿宋_GB2312"/>
                <w:color w:val="auto"/>
                <w:sz w:val="24"/>
              </w:rPr>
              <w:t>评审标准：</w:t>
            </w:r>
            <w:r>
              <w:rPr>
                <w:rFonts w:hint="eastAsia" w:ascii="仿宋_GB2312" w:hAnsi="仿宋_GB2312" w:eastAsia="仿宋_GB2312" w:cs="仿宋_GB2312"/>
                <w:color w:val="auto"/>
                <w:sz w:val="24"/>
                <w:lang w:bidi="ar"/>
              </w:rPr>
              <w:t>项目负责人具有PMP证书或信息系统项目管理师（高级）证书的，得2分；曾担任过类似项目的项目经理并成功交付，能够提供项目合同及项目验收报告，得2分，未提供或提供不全的不得分。</w:t>
            </w:r>
            <w:r>
              <w:rPr>
                <w:rFonts w:hint="eastAsia" w:ascii="仿宋_GB2312" w:hAnsi="仿宋_GB2312" w:eastAsia="仿宋_GB2312" w:cs="仿宋_GB2312"/>
                <w:color w:val="auto"/>
                <w:sz w:val="24"/>
                <w:lang w:bidi="ar"/>
              </w:rPr>
              <w:br w:type="textWrapping"/>
            </w:r>
            <w:r>
              <w:rPr>
                <w:rFonts w:hint="eastAsia" w:ascii="仿宋_GB2312" w:hAnsi="仿宋_GB2312" w:eastAsia="仿宋_GB2312" w:cs="仿宋_GB2312"/>
                <w:color w:val="auto"/>
                <w:sz w:val="24"/>
                <w:lang w:bidi="ar"/>
              </w:rPr>
              <w:t xml:space="preserve">    </w:t>
            </w:r>
            <w:r>
              <w:rPr>
                <w:rFonts w:hint="eastAsia" w:ascii="仿宋_GB2312" w:hAnsi="仿宋_GB2312" w:eastAsia="仿宋_GB2312" w:cs="仿宋_GB2312"/>
                <w:b/>
                <w:bCs/>
                <w:color w:val="auto"/>
                <w:kern w:val="0"/>
                <w:sz w:val="24"/>
              </w:rPr>
              <w:t>注：以上须提供人员身份证复印件、相关证书复印件、</w:t>
            </w:r>
            <w:r>
              <w:rPr>
                <w:rFonts w:hint="eastAsia" w:ascii="仿宋_GB2312" w:hAnsi="仿宋_GB2312" w:eastAsia="仿宋_GB2312" w:cs="仿宋_GB2312"/>
                <w:b/>
                <w:bCs/>
                <w:color w:val="auto"/>
                <w:sz w:val="24"/>
                <w:lang w:bidi="ar"/>
              </w:rPr>
              <w:t>合同复印件</w:t>
            </w:r>
            <w:r>
              <w:rPr>
                <w:rFonts w:hint="eastAsia" w:ascii="仿宋_GB2312" w:eastAsia="仿宋_GB2312"/>
                <w:b/>
                <w:bCs/>
                <w:color w:val="auto"/>
                <w:sz w:val="24"/>
                <w:lang w:bidi="ar"/>
              </w:rPr>
              <w:t>（</w:t>
            </w:r>
            <w:r>
              <w:rPr>
                <w:rFonts w:hint="eastAsia" w:ascii="仿宋_GB2312" w:hAnsi="宋体" w:eastAsia="仿宋_GB2312" w:cs="仿宋_GB2312"/>
                <w:b/>
                <w:bCs/>
                <w:color w:val="auto"/>
                <w:kern w:val="0"/>
                <w:sz w:val="24"/>
              </w:rPr>
              <w:t>合同中须体现项目经理姓名，若合同中未体现的需要提供业主盖章的证明材料</w:t>
            </w:r>
            <w:r>
              <w:rPr>
                <w:rFonts w:hint="eastAsia" w:ascii="仿宋_GB2312" w:eastAsia="仿宋_GB2312"/>
                <w:b/>
                <w:bCs/>
                <w:color w:val="auto"/>
                <w:sz w:val="24"/>
                <w:lang w:bidi="ar"/>
              </w:rPr>
              <w:t>）</w:t>
            </w:r>
            <w:r>
              <w:rPr>
                <w:rFonts w:hint="eastAsia" w:ascii="仿宋_GB2312" w:hAnsi="仿宋_GB2312" w:eastAsia="仿宋_GB2312" w:cs="仿宋_GB2312"/>
                <w:b/>
                <w:bCs/>
                <w:color w:val="auto"/>
                <w:sz w:val="24"/>
                <w:lang w:bidi="ar"/>
              </w:rPr>
              <w:t>、项目验收报告复印件</w:t>
            </w:r>
            <w:r>
              <w:rPr>
                <w:rFonts w:hint="eastAsia" w:ascii="仿宋_GB2312" w:hAnsi="仿宋_GB2312" w:eastAsia="仿宋_GB2312" w:cs="仿宋_GB2312"/>
                <w:b/>
                <w:bCs/>
                <w:color w:val="auto"/>
                <w:kern w:val="0"/>
                <w:sz w:val="24"/>
              </w:rPr>
              <w:t>以及开标前6个月内任意一月投标人为拟派人员缴纳社保的证明材料复印件加盖投标人公章。</w:t>
            </w:r>
          </w:p>
        </w:tc>
        <w:tc>
          <w:tcPr>
            <w:tcW w:w="402"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Times New Roman" w:eastAsia="仿宋_GB2312" w:cs="Times New Roman"/>
                <w:color w:val="auto"/>
              </w:rPr>
            </w:pPr>
            <w:r>
              <w:rPr>
                <w:rFonts w:hint="eastAsia" w:ascii="仿宋_GB2312" w:hAnsi="Times New Roman" w:eastAsia="仿宋_GB2312" w:cs="Times New Roman"/>
                <w:color w:va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58" w:type="pct"/>
            <w:vMerge w:val="continue"/>
            <w:tcBorders>
              <w:left w:val="single" w:color="auto" w:sz="4" w:space="0"/>
              <w:right w:val="single" w:color="auto" w:sz="4" w:space="0"/>
            </w:tcBorders>
            <w:vAlign w:val="center"/>
          </w:tcPr>
          <w:p>
            <w:pPr>
              <w:snapToGrid w:val="0"/>
              <w:spacing w:line="300" w:lineRule="auto"/>
              <w:jc w:val="center"/>
              <w:rPr>
                <w:rFonts w:ascii="仿宋_GB2312" w:hAnsi="仿宋_GB2312" w:eastAsia="仿宋_GB2312" w:cs="仿宋_GB2312"/>
                <w:color w:val="000000" w:themeColor="text1"/>
                <w:sz w:val="24"/>
                <w14:textFill>
                  <w14:solidFill>
                    <w14:schemeClr w14:val="tx1"/>
                  </w14:solidFill>
                </w14:textFill>
              </w:rPr>
            </w:pPr>
          </w:p>
        </w:tc>
        <w:tc>
          <w:tcPr>
            <w:tcW w:w="658"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项目组成员</w:t>
            </w:r>
          </w:p>
        </w:tc>
        <w:tc>
          <w:tcPr>
            <w:tcW w:w="3279" w:type="pct"/>
            <w:tcBorders>
              <w:top w:val="single" w:color="auto" w:sz="4" w:space="0"/>
              <w:left w:val="single" w:color="auto" w:sz="4" w:space="0"/>
              <w:bottom w:val="single" w:color="auto" w:sz="4" w:space="0"/>
              <w:right w:val="single" w:color="auto" w:sz="4" w:space="0"/>
            </w:tcBorders>
            <w:vAlign w:val="center"/>
          </w:tcPr>
          <w:p>
            <w:pPr>
              <w:pStyle w:val="45"/>
              <w:snapToGrid w:val="0"/>
              <w:spacing w:line="300" w:lineRule="auto"/>
              <w:ind w:firstLine="48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评审内容：项目组成员；</w:t>
            </w:r>
          </w:p>
          <w:p>
            <w:pPr>
              <w:pStyle w:val="45"/>
              <w:snapToGrid w:val="0"/>
              <w:spacing w:line="300" w:lineRule="auto"/>
              <w:ind w:firstLine="48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评审标准：项目组成员具有以下证书，职称人员不少于6人。</w:t>
            </w:r>
          </w:p>
          <w:p>
            <w:pPr>
              <w:pStyle w:val="45"/>
              <w:snapToGrid w:val="0"/>
              <w:spacing w:line="300" w:lineRule="auto"/>
              <w:ind w:firstLine="48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1.系统架构设计师证书</w:t>
            </w:r>
          </w:p>
          <w:p>
            <w:pPr>
              <w:pStyle w:val="45"/>
              <w:snapToGrid w:val="0"/>
              <w:spacing w:line="300" w:lineRule="auto"/>
              <w:ind w:firstLine="48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2.软件设计师证书</w:t>
            </w:r>
          </w:p>
          <w:p>
            <w:pPr>
              <w:pStyle w:val="45"/>
              <w:snapToGrid w:val="0"/>
              <w:spacing w:line="300" w:lineRule="auto"/>
              <w:ind w:firstLine="48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3.软件评测师证书</w:t>
            </w:r>
          </w:p>
          <w:p>
            <w:pPr>
              <w:pStyle w:val="45"/>
              <w:snapToGrid w:val="0"/>
              <w:spacing w:line="300" w:lineRule="auto"/>
              <w:ind w:firstLine="48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4.信息安全工程师证书</w:t>
            </w:r>
          </w:p>
          <w:p>
            <w:pPr>
              <w:pStyle w:val="45"/>
              <w:snapToGrid w:val="0"/>
              <w:spacing w:line="300" w:lineRule="auto"/>
              <w:ind w:firstLine="48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5.系统集成项目管理工程师证书</w:t>
            </w:r>
          </w:p>
          <w:p>
            <w:pPr>
              <w:pStyle w:val="45"/>
              <w:snapToGrid w:val="0"/>
              <w:spacing w:line="300" w:lineRule="auto"/>
              <w:ind w:firstLine="48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6.网络工程师证书</w:t>
            </w:r>
          </w:p>
          <w:p>
            <w:pPr>
              <w:pStyle w:val="45"/>
              <w:snapToGrid w:val="0"/>
              <w:spacing w:line="300" w:lineRule="auto"/>
              <w:ind w:firstLine="48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每提供1类职称证书得1分，最高得6分。</w:t>
            </w:r>
          </w:p>
          <w:p>
            <w:pPr>
              <w:widowControl/>
              <w:snapToGrid w:val="0"/>
              <w:spacing w:line="300" w:lineRule="auto"/>
              <w:ind w:firstLine="480" w:firstLineChars="200"/>
              <w:jc w:val="left"/>
              <w:rPr>
                <w:rFonts w:ascii="仿宋_GB2312" w:hAnsi="仿宋_GB2312" w:eastAsia="仿宋_GB2312" w:cs="仿宋_GB2312"/>
                <w:b/>
                <w:bCs/>
                <w:color w:val="000000" w:themeColor="text1"/>
                <w:sz w:val="24"/>
                <w:lang w:bidi="ar"/>
                <w14:textFill>
                  <w14:solidFill>
                    <w14:schemeClr w14:val="tx1"/>
                  </w14:solidFill>
                </w14:textFill>
              </w:rPr>
            </w:pPr>
            <w:r>
              <w:rPr>
                <w:rFonts w:hint="eastAsia" w:ascii="仿宋_GB2312" w:hAnsi="仿宋_GB2312" w:eastAsia="仿宋_GB2312" w:cs="仿宋_GB2312"/>
                <w:b/>
                <w:bCs/>
                <w:color w:val="000000" w:themeColor="text1"/>
                <w:sz w:val="24"/>
                <w:lang w:bidi="ar"/>
                <w14:textFill>
                  <w14:solidFill>
                    <w14:schemeClr w14:val="tx1"/>
                  </w14:solidFill>
                </w14:textFill>
              </w:rPr>
              <w:t>注：（1）以上须提供人员身份证复印件、相关证书复印件、以及开标前6个月内任意一月投标人为拟派人员缴纳社保的证明材料复印件加盖投标人公章。</w:t>
            </w:r>
          </w:p>
          <w:p>
            <w:pPr>
              <w:widowControl/>
              <w:snapToGrid w:val="0"/>
              <w:spacing w:line="300" w:lineRule="auto"/>
              <w:ind w:firstLine="480" w:firstLineChars="200"/>
              <w:jc w:val="left"/>
              <w:rPr>
                <w:rFonts w:ascii="仿宋_GB2312" w:hAnsi="仿宋_GB2312" w:eastAsia="仿宋_GB2312" w:cs="仿宋_GB2312"/>
                <w:color w:val="000000" w:themeColor="text1"/>
                <w:sz w:val="24"/>
                <w:lang w:bidi="ar"/>
                <w14:textFill>
                  <w14:solidFill>
                    <w14:schemeClr w14:val="tx1"/>
                  </w14:solidFill>
                </w14:textFill>
              </w:rPr>
            </w:pPr>
            <w:r>
              <w:rPr>
                <w:rFonts w:hint="eastAsia" w:ascii="仿宋_GB2312" w:hAnsi="仿宋_GB2312" w:eastAsia="仿宋_GB2312" w:cs="仿宋_GB2312"/>
                <w:b/>
                <w:bCs/>
                <w:color w:val="000000" w:themeColor="text1"/>
                <w:sz w:val="24"/>
                <w:lang w:bidi="ar"/>
                <w14:textFill>
                  <w14:solidFill>
                    <w14:schemeClr w14:val="tx1"/>
                  </w14:solidFill>
                </w14:textFill>
              </w:rPr>
              <w:t>（2）项目组成员中同一人员具备多个证书的，仅计算一次。</w:t>
            </w:r>
          </w:p>
        </w:tc>
        <w:tc>
          <w:tcPr>
            <w:tcW w:w="402"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58" w:type="pct"/>
            <w:vMerge w:val="continue"/>
            <w:tcBorders>
              <w:left w:val="single" w:color="auto" w:sz="4" w:space="0"/>
              <w:right w:val="single" w:color="auto" w:sz="4" w:space="0"/>
            </w:tcBorders>
            <w:vAlign w:val="center"/>
          </w:tcPr>
          <w:p>
            <w:pPr>
              <w:spacing w:line="300" w:lineRule="auto"/>
              <w:jc w:val="center"/>
              <w:rPr>
                <w:rFonts w:ascii="仿宋_GB2312" w:hAnsi="仿宋_GB2312" w:eastAsia="仿宋_GB2312" w:cs="仿宋_GB2312"/>
                <w:color w:val="000000" w:themeColor="text1"/>
                <w:sz w:val="24"/>
                <w14:textFill>
                  <w14:solidFill>
                    <w14:schemeClr w14:val="tx1"/>
                  </w14:solidFill>
                </w14:textFill>
              </w:rPr>
            </w:pPr>
          </w:p>
        </w:tc>
        <w:tc>
          <w:tcPr>
            <w:tcW w:w="658"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业绩</w:t>
            </w:r>
          </w:p>
        </w:tc>
        <w:tc>
          <w:tcPr>
            <w:tcW w:w="3279" w:type="pct"/>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ind w:firstLine="480" w:firstLineChars="200"/>
              <w:jc w:val="lef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评审内容：业绩；</w:t>
            </w:r>
          </w:p>
          <w:p>
            <w:pPr>
              <w:spacing w:line="300" w:lineRule="auto"/>
              <w:ind w:firstLine="480" w:firstLineChars="200"/>
              <w:jc w:val="left"/>
              <w:rPr>
                <w:color w:val="000000" w:themeColor="text1"/>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评审标准：</w:t>
            </w:r>
            <w:r>
              <w:rPr>
                <w:rFonts w:ascii="仿宋_GB2312" w:hAnsi="宋体" w:eastAsia="仿宋_GB2312" w:cs="仿宋_GB2312"/>
                <w:color w:val="000000" w:themeColor="text1"/>
                <w:kern w:val="0"/>
                <w:sz w:val="24"/>
                <w14:textFill>
                  <w14:solidFill>
                    <w14:schemeClr w14:val="tx1"/>
                  </w14:solidFill>
                </w14:textFill>
              </w:rPr>
              <w:t>投标人</w:t>
            </w:r>
            <w:r>
              <w:rPr>
                <w:rFonts w:hint="eastAsia" w:ascii="仿宋_GB2312" w:hAnsi="仿宋_GB2312" w:eastAsia="仿宋_GB2312" w:cs="仿宋_GB2312"/>
                <w:color w:val="000000" w:themeColor="text1"/>
                <w:kern w:val="0"/>
                <w:sz w:val="24"/>
                <w:lang w:bidi="ar"/>
                <w14:textFill>
                  <w14:solidFill>
                    <w14:schemeClr w14:val="tx1"/>
                  </w14:solidFill>
                </w14:textFill>
              </w:rPr>
              <w:t>2018</w:t>
            </w:r>
            <w:r>
              <w:rPr>
                <w:rFonts w:hint="eastAsia" w:ascii="仿宋_GB2312" w:hAnsi="仿宋" w:eastAsia="仿宋_GB2312" w:cs="仿宋_GB2312"/>
                <w:color w:val="000000" w:themeColor="text1"/>
                <w:sz w:val="24"/>
                <w:lang w:bidi="ar"/>
                <w14:textFill>
                  <w14:solidFill>
                    <w14:schemeClr w14:val="tx1"/>
                  </w14:solidFill>
                </w14:textFill>
              </w:rPr>
              <w:t>年1月1日</w:t>
            </w:r>
            <w:r>
              <w:rPr>
                <w:rFonts w:hint="eastAsia" w:ascii="仿宋_GB2312" w:hAnsi="宋体" w:eastAsia="仿宋_GB2312" w:cs="仿宋_GB2312"/>
                <w:color w:val="000000" w:themeColor="text1"/>
                <w:kern w:val="0"/>
                <w:sz w:val="24"/>
                <w14:textFill>
                  <w14:solidFill>
                    <w14:schemeClr w14:val="tx1"/>
                  </w14:solidFill>
                </w14:textFill>
              </w:rPr>
              <w:t>至今</w:t>
            </w:r>
            <w:r>
              <w:rPr>
                <w:rFonts w:ascii="仿宋_GB2312" w:hAnsi="宋体" w:eastAsia="仿宋_GB2312" w:cs="仿宋_GB2312"/>
                <w:color w:val="000000" w:themeColor="text1"/>
                <w:kern w:val="0"/>
                <w:sz w:val="24"/>
                <w14:textFill>
                  <w14:solidFill>
                    <w14:schemeClr w14:val="tx1"/>
                  </w14:solidFill>
                </w14:textFill>
              </w:rPr>
              <w:t xml:space="preserve">（以合同签订日期为准）具有类似项目业绩的，每个业绩得1分，最高得8分。 </w:t>
            </w:r>
            <w:r>
              <w:rPr>
                <w:rFonts w:ascii="仿宋_GB2312" w:hAnsi="宋体" w:eastAsia="仿宋_GB2312" w:cs="仿宋_GB2312"/>
                <w:color w:val="000000" w:themeColor="text1"/>
                <w:kern w:val="0"/>
                <w:sz w:val="24"/>
                <w14:textFill>
                  <w14:solidFill>
                    <w14:schemeClr w14:val="tx1"/>
                  </w14:solidFill>
                </w14:textFill>
              </w:rPr>
              <w:br w:type="textWrapping"/>
            </w:r>
            <w:r>
              <w:rPr>
                <w:rFonts w:hint="eastAsia" w:ascii="仿宋_GB2312" w:hAnsi="宋体" w:eastAsia="仿宋_GB2312" w:cs="仿宋_GB2312"/>
                <w:color w:val="000000" w:themeColor="text1"/>
                <w:kern w:val="0"/>
                <w:sz w:val="24"/>
                <w14:textFill>
                  <w14:solidFill>
                    <w14:schemeClr w14:val="tx1"/>
                  </w14:solidFill>
                </w14:textFill>
              </w:rPr>
              <w:t xml:space="preserve">    </w:t>
            </w:r>
            <w:r>
              <w:rPr>
                <w:rFonts w:ascii="仿宋_GB2312" w:hAnsi="宋体" w:eastAsia="仿宋_GB2312" w:cs="仿宋_GB2312"/>
                <w:b/>
                <w:bCs/>
                <w:color w:val="000000" w:themeColor="text1"/>
                <w:kern w:val="0"/>
                <w:sz w:val="24"/>
                <w14:textFill>
                  <w14:solidFill>
                    <w14:schemeClr w14:val="tx1"/>
                  </w14:solidFill>
                </w14:textFill>
              </w:rPr>
              <w:t>注：1）类似项目指城市综合管理服务平台或城市运行管理服务平台项目，项目名称包含 “城市综合管理服务平台”或“城市运行管理服务平台”等关键字；或项目建设内容清单中包括：业务指导、监督检查、综合评价、决策建议、监测分析、数据交换、数据汇聚、应用维护等8个系统中至少4</w:t>
            </w:r>
            <w:r>
              <w:rPr>
                <w:rFonts w:ascii="仿宋_GB2312" w:hAnsi="宋体" w:eastAsia="仿宋_GB2312" w:cs="仿宋_GB2312"/>
                <w:b/>
                <w:bCs/>
                <w:color w:val="auto"/>
                <w:kern w:val="0"/>
                <w:sz w:val="24"/>
              </w:rPr>
              <w:t>个</w:t>
            </w:r>
            <w:r>
              <w:rPr>
                <w:rFonts w:hint="eastAsia" w:ascii="仿宋_GB2312" w:hAnsi="宋体" w:eastAsia="仿宋_GB2312" w:cs="仿宋_GB2312"/>
                <w:b/>
                <w:bCs/>
                <w:color w:val="auto"/>
                <w:kern w:val="0"/>
                <w:sz w:val="24"/>
              </w:rPr>
              <w:t>及</w:t>
            </w:r>
            <w:r>
              <w:rPr>
                <w:rFonts w:ascii="仿宋_GB2312" w:hAnsi="宋体" w:eastAsia="仿宋_GB2312" w:cs="仿宋_GB2312"/>
                <w:b/>
                <w:bCs/>
                <w:color w:val="auto"/>
                <w:kern w:val="0"/>
                <w:sz w:val="24"/>
              </w:rPr>
              <w:t>以</w:t>
            </w:r>
            <w:r>
              <w:rPr>
                <w:rFonts w:ascii="仿宋_GB2312" w:hAnsi="宋体" w:eastAsia="仿宋_GB2312" w:cs="仿宋_GB2312"/>
                <w:b/>
                <w:bCs/>
                <w:color w:val="000000" w:themeColor="text1"/>
                <w:kern w:val="0"/>
                <w:sz w:val="24"/>
                <w14:textFill>
                  <w14:solidFill>
                    <w14:schemeClr w14:val="tx1"/>
                  </w14:solidFill>
                </w14:textFill>
              </w:rPr>
              <w:t>上系统为类似项目业绩；</w:t>
            </w:r>
            <w:r>
              <w:rPr>
                <w:rFonts w:ascii="仿宋_GB2312" w:hAnsi="宋体"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sz w:val="24"/>
                <w:lang w:bidi="ar"/>
                <w14:textFill>
                  <w14:solidFill>
                    <w14:schemeClr w14:val="tx1"/>
                  </w14:solidFill>
                </w14:textFill>
              </w:rPr>
              <w:t xml:space="preserve">    </w:t>
            </w:r>
            <w:r>
              <w:rPr>
                <w:rFonts w:ascii="仿宋_GB2312" w:hAnsi="仿宋_GB2312" w:eastAsia="仿宋_GB2312" w:cs="仿宋_GB2312"/>
                <w:b/>
                <w:bCs/>
                <w:color w:val="000000" w:themeColor="text1"/>
                <w:sz w:val="24"/>
                <w:lang w:bidi="ar"/>
                <w14:textFill>
                  <w14:solidFill>
                    <w14:schemeClr w14:val="tx1"/>
                  </w14:solidFill>
                </w14:textFill>
              </w:rPr>
              <w:t>2）提供合同（含项目名称、项目建设内容清单、签章页关键页）复印件加盖投标人公章，不提供或不按要求提供相关证明材料的本项不得分。</w:t>
            </w:r>
          </w:p>
        </w:tc>
        <w:tc>
          <w:tcPr>
            <w:tcW w:w="402"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合  计</w:t>
            </w:r>
          </w:p>
        </w:tc>
        <w:tc>
          <w:tcPr>
            <w:tcW w:w="658"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w:t>
            </w:r>
          </w:p>
        </w:tc>
        <w:tc>
          <w:tcPr>
            <w:tcW w:w="3279"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w:t>
            </w:r>
          </w:p>
        </w:tc>
        <w:tc>
          <w:tcPr>
            <w:tcW w:w="402"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300"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100</w:t>
            </w:r>
          </w:p>
        </w:tc>
      </w:tr>
    </w:tbl>
    <w:p>
      <w:pP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br w:type="page"/>
      </w:r>
    </w:p>
    <w:p>
      <w:pPr>
        <w:pStyle w:val="3"/>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（四）信息工程监理和密码应用安全性评估评分标准</w:t>
      </w:r>
    </w:p>
    <w:tbl>
      <w:tblPr>
        <w:tblStyle w:val="20"/>
        <w:tblpPr w:leftFromText="180" w:rightFromText="180" w:vertAnchor="text" w:horzAnchor="margin" w:tblpX="-373" w:tblpY="10"/>
        <w:tblW w:w="56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1196"/>
        <w:gridCol w:w="6006"/>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65"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b/>
                <w:color w:val="000000" w:themeColor="text1"/>
                <w:kern w:val="2"/>
                <w14:textFill>
                  <w14:solidFill>
                    <w14:schemeClr w14:val="tx1"/>
                  </w14:solidFill>
                </w14:textFill>
              </w:rPr>
            </w:pPr>
            <w:r>
              <w:rPr>
                <w:rFonts w:hint="eastAsia" w:ascii="仿宋_GB2312" w:hAnsi="仿宋_GB2312" w:eastAsia="仿宋_GB2312" w:cs="仿宋_GB2312"/>
                <w:b/>
                <w:color w:val="000000" w:themeColor="text1"/>
                <w:kern w:val="2"/>
                <w14:textFill>
                  <w14:solidFill>
                    <w14:schemeClr w14:val="tx1"/>
                  </w14:solidFill>
                </w14:textFill>
              </w:rPr>
              <w:t>包号</w:t>
            </w:r>
          </w:p>
        </w:tc>
        <w:tc>
          <w:tcPr>
            <w:tcW w:w="4334" w:type="pct"/>
            <w:gridSpan w:val="3"/>
            <w:tcBorders>
              <w:top w:val="single" w:color="auto" w:sz="4" w:space="0"/>
              <w:left w:val="single" w:color="auto" w:sz="4" w:space="0"/>
              <w:bottom w:val="single" w:color="auto" w:sz="4" w:space="0"/>
              <w:right w:val="single" w:color="auto" w:sz="4" w:space="0"/>
            </w:tcBorders>
            <w:vAlign w:val="center"/>
          </w:tcPr>
          <w:p>
            <w:pPr>
              <w:pStyle w:val="16"/>
              <w:widowControl w:val="0"/>
              <w:snapToGrid w:val="0"/>
              <w:spacing w:before="0" w:beforeAutospacing="0" w:after="0" w:afterAutospacing="0" w:line="288" w:lineRule="auto"/>
              <w:jc w:val="center"/>
              <w:rPr>
                <w:rFonts w:ascii="仿宋_GB2312" w:hAnsi="仿宋_GB2312" w:eastAsia="仿宋_GB2312" w:cs="仿宋_GB2312"/>
                <w:b/>
                <w:color w:val="000000" w:themeColor="text1"/>
                <w:kern w:val="2"/>
                <w14:textFill>
                  <w14:solidFill>
                    <w14:schemeClr w14:val="tx1"/>
                  </w14:solidFill>
                </w14:textFill>
              </w:rPr>
            </w:pPr>
            <w:r>
              <w:rPr>
                <w:rFonts w:hint="eastAsia" w:ascii="仿宋_GB2312" w:hAnsi="仿宋_GB2312" w:eastAsia="仿宋_GB2312" w:cs="仿宋_GB2312"/>
                <w:b/>
                <w:color w:val="000000" w:themeColor="text1"/>
                <w:kern w:val="2"/>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65"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项目</w:t>
            </w:r>
          </w:p>
        </w:tc>
        <w:tc>
          <w:tcPr>
            <w:tcW w:w="653"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分项名称</w:t>
            </w:r>
          </w:p>
        </w:tc>
        <w:tc>
          <w:tcPr>
            <w:tcW w:w="3279"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评分标准</w:t>
            </w:r>
          </w:p>
        </w:tc>
        <w:tc>
          <w:tcPr>
            <w:tcW w:w="402"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价格部分（10分）</w:t>
            </w:r>
          </w:p>
        </w:tc>
        <w:tc>
          <w:tcPr>
            <w:tcW w:w="653"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投标报价</w:t>
            </w:r>
          </w:p>
        </w:tc>
        <w:tc>
          <w:tcPr>
            <w:tcW w:w="3279" w:type="pct"/>
            <w:tcBorders>
              <w:top w:val="single" w:color="auto" w:sz="4" w:space="0"/>
              <w:left w:val="single" w:color="auto" w:sz="4" w:space="0"/>
              <w:bottom w:val="single" w:color="auto" w:sz="4" w:space="0"/>
              <w:right w:val="single" w:color="auto" w:sz="4" w:space="0"/>
            </w:tcBorders>
            <w:vAlign w:val="center"/>
          </w:tcPr>
          <w:p>
            <w:pPr>
              <w:spacing w:line="288" w:lineRule="auto"/>
              <w:ind w:firstLine="480" w:firstLineChars="20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评审内容：投标报价；</w:t>
            </w:r>
          </w:p>
          <w:p>
            <w:pPr>
              <w:adjustRightInd w:val="0"/>
              <w:snapToGrid w:val="0"/>
              <w:spacing w:line="288" w:lineRule="auto"/>
              <w:ind w:firstLine="480" w:firstLineChars="200"/>
              <w:jc w:val="left"/>
              <w:textAlignment w:val="cente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评审标准：</w:t>
            </w:r>
          </w:p>
          <w:p>
            <w:pPr>
              <w:adjustRightInd w:val="0"/>
              <w:snapToGrid w:val="0"/>
              <w:spacing w:line="288" w:lineRule="auto"/>
              <w:ind w:firstLine="480" w:firstLineChars="200"/>
              <w:jc w:val="left"/>
              <w:textAlignment w:val="cente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1.评标基准价：系指满足招标文件要求且投标价格最低的投标报价。</w:t>
            </w:r>
          </w:p>
          <w:p>
            <w:pPr>
              <w:adjustRightInd w:val="0"/>
              <w:snapToGrid w:val="0"/>
              <w:spacing w:line="288" w:lineRule="auto"/>
              <w:ind w:firstLine="480" w:firstLineChars="200"/>
              <w:jc w:val="left"/>
              <w:textAlignment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2.投标报价得分＝（评标基准价／投标报价）×10，得分保留至小数点后两位。</w:t>
            </w:r>
          </w:p>
        </w:tc>
        <w:tc>
          <w:tcPr>
            <w:tcW w:w="402"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仿宋_GB2312" w:eastAsia="仿宋_GB2312"/>
                <w:color w:val="000000" w:themeColor="text1"/>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pct"/>
            <w:vMerge w:val="restart"/>
            <w:tcBorders>
              <w:top w:val="single" w:color="auto" w:sz="4" w:space="0"/>
              <w:left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技术部分（46分）</w:t>
            </w:r>
          </w:p>
        </w:tc>
        <w:tc>
          <w:tcPr>
            <w:tcW w:w="653" w:type="pct"/>
            <w:tcBorders>
              <w:top w:val="single" w:color="auto" w:sz="4" w:space="0"/>
              <w:left w:val="single" w:color="auto" w:sz="4" w:space="0"/>
              <w:bottom w:val="single" w:color="auto" w:sz="4" w:space="0"/>
              <w:right w:val="single" w:color="auto" w:sz="4" w:space="0"/>
            </w:tcBorders>
            <w:vAlign w:val="center"/>
          </w:tcPr>
          <w:p>
            <w:pPr>
              <w:pStyle w:val="45"/>
              <w:snapToGrid w:val="0"/>
              <w:spacing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质量控制方案</w:t>
            </w:r>
          </w:p>
        </w:tc>
        <w:tc>
          <w:tcPr>
            <w:tcW w:w="3279" w:type="pct"/>
            <w:tcBorders>
              <w:top w:val="single" w:color="auto" w:sz="4" w:space="0"/>
              <w:left w:val="single" w:color="auto" w:sz="4" w:space="0"/>
              <w:bottom w:val="single" w:color="auto" w:sz="4" w:space="0"/>
              <w:right w:val="single" w:color="auto" w:sz="4" w:space="0"/>
            </w:tcBorders>
            <w:vAlign w:val="center"/>
          </w:tcPr>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质量控制方案包括但不限于监理质量控制措施、质量控制方法和不同阶段的质量控制要点等内容，进行综合评分：</w:t>
            </w:r>
          </w:p>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w:t>
            </w:r>
            <w:r>
              <w:rPr>
                <w:rFonts w:ascii="仿宋_GB2312" w:eastAsia="仿宋_GB2312"/>
                <w:color w:val="000000" w:themeColor="text1"/>
                <w14:textFill>
                  <w14:solidFill>
                    <w14:schemeClr w14:val="tx1"/>
                  </w14:solidFill>
                </w14:textFill>
              </w:rPr>
              <w:t>具有明确的</w:t>
            </w:r>
            <w:r>
              <w:rPr>
                <w:rFonts w:hint="eastAsia" w:ascii="仿宋_GB2312" w:eastAsia="仿宋_GB2312"/>
                <w:color w:val="000000" w:themeColor="text1"/>
                <w14:textFill>
                  <w14:solidFill>
                    <w14:schemeClr w14:val="tx1"/>
                  </w14:solidFill>
                </w14:textFill>
              </w:rPr>
              <w:t>事前、事中、事后监理质量控制措施且合理的得2分；</w:t>
            </w:r>
          </w:p>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w:t>
            </w:r>
            <w:r>
              <w:rPr>
                <w:rFonts w:ascii="仿宋_GB2312" w:eastAsia="仿宋_GB2312"/>
                <w:color w:val="000000" w:themeColor="text1"/>
                <w14:textFill>
                  <w14:solidFill>
                    <w14:schemeClr w14:val="tx1"/>
                  </w14:solidFill>
                </w14:textFill>
              </w:rPr>
              <w:t>具有明确的</w:t>
            </w:r>
            <w:r>
              <w:rPr>
                <w:rFonts w:hint="eastAsia" w:ascii="仿宋_GB2312" w:eastAsia="仿宋_GB2312"/>
                <w:color w:val="000000" w:themeColor="text1"/>
                <w14:textFill>
                  <w14:solidFill>
                    <w14:schemeClr w14:val="tx1"/>
                  </w14:solidFill>
                </w14:textFill>
              </w:rPr>
              <w:t>监理质量控制方法和</w:t>
            </w:r>
            <w:r>
              <w:rPr>
                <w:rFonts w:ascii="仿宋_GB2312" w:eastAsia="仿宋_GB2312"/>
                <w:color w:val="000000" w:themeColor="text1"/>
                <w14:textFill>
                  <w14:solidFill>
                    <w14:schemeClr w14:val="tx1"/>
                  </w14:solidFill>
                </w14:textFill>
              </w:rPr>
              <w:t>不同阶段的质量控制要点</w:t>
            </w:r>
            <w:r>
              <w:rPr>
                <w:rFonts w:hint="eastAsia" w:ascii="仿宋_GB2312" w:eastAsia="仿宋_GB2312"/>
                <w:color w:val="000000" w:themeColor="text1"/>
                <w14:textFill>
                  <w14:solidFill>
                    <w14:schemeClr w14:val="tx1"/>
                  </w14:solidFill>
                </w14:textFill>
              </w:rPr>
              <w:t>且合理可行的得2分；</w:t>
            </w:r>
          </w:p>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w:t>
            </w:r>
            <w:r>
              <w:rPr>
                <w:rFonts w:ascii="仿宋_GB2312" w:eastAsia="仿宋_GB2312"/>
                <w:color w:val="000000" w:themeColor="text1"/>
                <w14:textFill>
                  <w14:solidFill>
                    <w14:schemeClr w14:val="tx1"/>
                  </w14:solidFill>
                </w14:textFill>
              </w:rPr>
              <w:t>整体</w:t>
            </w:r>
            <w:r>
              <w:rPr>
                <w:rFonts w:hint="eastAsia" w:ascii="仿宋_GB2312" w:hAnsi="仿宋_GB2312" w:eastAsia="仿宋_GB2312" w:cs="仿宋_GB2312"/>
                <w:color w:val="000000" w:themeColor="text1"/>
                <w14:textFill>
                  <w14:solidFill>
                    <w14:schemeClr w14:val="tx1"/>
                  </w14:solidFill>
                </w14:textFill>
              </w:rPr>
              <w:t>质量控制</w:t>
            </w:r>
            <w:r>
              <w:rPr>
                <w:rFonts w:hint="eastAsia" w:ascii="仿宋_GB2312" w:eastAsia="仿宋_GB2312"/>
                <w:color w:val="000000" w:themeColor="text1"/>
                <w14:textFill>
                  <w14:solidFill>
                    <w14:schemeClr w14:val="tx1"/>
                  </w14:solidFill>
                </w14:textFill>
              </w:rPr>
              <w:t>方案全面详实，完全满足服务需求的得2分；</w:t>
            </w:r>
          </w:p>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4.</w:t>
            </w:r>
            <w:r>
              <w:rPr>
                <w:rFonts w:ascii="仿宋_GB2312" w:eastAsia="仿宋_GB2312"/>
                <w:color w:val="000000" w:themeColor="text1"/>
                <w14:textFill>
                  <w14:solidFill>
                    <w14:schemeClr w14:val="tx1"/>
                  </w14:solidFill>
                </w14:textFill>
              </w:rPr>
              <w:t>整体方案不全面，与服务需求不相符不得分。</w:t>
            </w:r>
          </w:p>
        </w:tc>
        <w:tc>
          <w:tcPr>
            <w:tcW w:w="4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pct"/>
            <w:vMerge w:val="continue"/>
            <w:tcBorders>
              <w:left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p>
        </w:tc>
        <w:tc>
          <w:tcPr>
            <w:tcW w:w="653" w:type="pct"/>
            <w:tcBorders>
              <w:top w:val="single" w:color="auto" w:sz="4" w:space="0"/>
              <w:left w:val="single" w:color="auto" w:sz="4" w:space="0"/>
              <w:bottom w:val="single" w:color="auto" w:sz="4" w:space="0"/>
              <w:right w:val="single" w:color="auto" w:sz="4" w:space="0"/>
            </w:tcBorders>
            <w:vAlign w:val="center"/>
          </w:tcPr>
          <w:p>
            <w:pPr>
              <w:pStyle w:val="45"/>
              <w:snapToGrid w:val="0"/>
              <w:spacing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进度控制方案</w:t>
            </w:r>
          </w:p>
        </w:tc>
        <w:tc>
          <w:tcPr>
            <w:tcW w:w="3279" w:type="pct"/>
            <w:tcBorders>
              <w:top w:val="single" w:color="auto" w:sz="4" w:space="0"/>
              <w:left w:val="single" w:color="auto" w:sz="4" w:space="0"/>
              <w:bottom w:val="single" w:color="auto" w:sz="4" w:space="0"/>
              <w:right w:val="single" w:color="auto" w:sz="4" w:space="0"/>
            </w:tcBorders>
            <w:vAlign w:val="center"/>
          </w:tcPr>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进度控制方案</w:t>
            </w:r>
            <w:r>
              <w:rPr>
                <w:rFonts w:hint="eastAsia" w:ascii="仿宋_GB2312" w:eastAsia="仿宋_GB2312"/>
                <w:color w:val="000000" w:themeColor="text1"/>
                <w14:textFill>
                  <w14:solidFill>
                    <w14:schemeClr w14:val="tx1"/>
                  </w14:solidFill>
                </w14:textFill>
              </w:rPr>
              <w:t>包括但不限于监理进度控制措施、监理进度控制要点等内容，进行综合评分：</w:t>
            </w:r>
          </w:p>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w:t>
            </w:r>
            <w:r>
              <w:rPr>
                <w:rFonts w:ascii="仿宋_GB2312" w:eastAsia="仿宋_GB2312"/>
                <w:color w:val="000000" w:themeColor="text1"/>
                <w14:textFill>
                  <w14:solidFill>
                    <w14:schemeClr w14:val="tx1"/>
                  </w14:solidFill>
                </w14:textFill>
              </w:rPr>
              <w:t>具有明确的</w:t>
            </w:r>
            <w:r>
              <w:rPr>
                <w:rFonts w:hint="eastAsia" w:ascii="仿宋_GB2312" w:eastAsia="仿宋_GB2312"/>
                <w:color w:val="000000" w:themeColor="text1"/>
                <w14:textFill>
                  <w14:solidFill>
                    <w14:schemeClr w14:val="tx1"/>
                  </w14:solidFill>
                </w14:textFill>
              </w:rPr>
              <w:t>事前、事中、事后监理进度控制措施且合理的得2分；</w:t>
            </w:r>
          </w:p>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2.具有明确且合理可行的监理进度控制要点的得2分；</w:t>
            </w:r>
          </w:p>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w:t>
            </w:r>
            <w:r>
              <w:rPr>
                <w:rFonts w:ascii="仿宋_GB2312" w:eastAsia="仿宋_GB2312"/>
                <w:color w:val="000000" w:themeColor="text1"/>
                <w14:textFill>
                  <w14:solidFill>
                    <w14:schemeClr w14:val="tx1"/>
                  </w14:solidFill>
                </w14:textFill>
              </w:rPr>
              <w:t>整体</w:t>
            </w:r>
            <w:r>
              <w:rPr>
                <w:rFonts w:hint="eastAsia" w:ascii="仿宋_GB2312" w:hAnsi="仿宋_GB2312" w:eastAsia="仿宋_GB2312" w:cs="仿宋_GB2312"/>
                <w:color w:val="000000" w:themeColor="text1"/>
                <w14:textFill>
                  <w14:solidFill>
                    <w14:schemeClr w14:val="tx1"/>
                  </w14:solidFill>
                </w14:textFill>
              </w:rPr>
              <w:t>进度控制</w:t>
            </w:r>
            <w:r>
              <w:rPr>
                <w:rFonts w:hint="eastAsia" w:ascii="仿宋_GB2312" w:eastAsia="仿宋_GB2312"/>
                <w:color w:val="000000" w:themeColor="text1"/>
                <w14:textFill>
                  <w14:solidFill>
                    <w14:schemeClr w14:val="tx1"/>
                  </w14:solidFill>
                </w14:textFill>
              </w:rPr>
              <w:t>方案全面详实，完全满足服务需求的得2分；</w:t>
            </w:r>
          </w:p>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4.</w:t>
            </w:r>
            <w:r>
              <w:rPr>
                <w:rFonts w:ascii="仿宋_GB2312" w:eastAsia="仿宋_GB2312"/>
                <w:color w:val="000000" w:themeColor="text1"/>
                <w14:textFill>
                  <w14:solidFill>
                    <w14:schemeClr w14:val="tx1"/>
                  </w14:solidFill>
                </w14:textFill>
              </w:rPr>
              <w:t>整体方案不全面，与服务需求不相符不得分。</w:t>
            </w:r>
          </w:p>
        </w:tc>
        <w:tc>
          <w:tcPr>
            <w:tcW w:w="4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pct"/>
            <w:vMerge w:val="continue"/>
            <w:tcBorders>
              <w:left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p>
        </w:tc>
        <w:tc>
          <w:tcPr>
            <w:tcW w:w="653" w:type="pct"/>
            <w:tcBorders>
              <w:top w:val="single" w:color="auto" w:sz="4" w:space="0"/>
              <w:left w:val="single" w:color="auto" w:sz="4" w:space="0"/>
              <w:right w:val="single" w:color="auto" w:sz="4" w:space="0"/>
            </w:tcBorders>
            <w:vAlign w:val="center"/>
          </w:tcPr>
          <w:p>
            <w:pPr>
              <w:pStyle w:val="45"/>
              <w:snapToGrid w:val="0"/>
              <w:spacing w:line="288" w:lineRule="auto"/>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投资控制</w:t>
            </w:r>
            <w:r>
              <w:rPr>
                <w:rFonts w:hint="eastAsia" w:ascii="仿宋_GB2312" w:hAnsi="仿宋_GB2312" w:eastAsia="仿宋_GB2312" w:cs="仿宋_GB2312"/>
                <w:color w:val="000000" w:themeColor="text1"/>
                <w14:textFill>
                  <w14:solidFill>
                    <w14:schemeClr w14:val="tx1"/>
                  </w14:solidFill>
                </w14:textFill>
              </w:rPr>
              <w:t>方案</w:t>
            </w:r>
          </w:p>
        </w:tc>
        <w:tc>
          <w:tcPr>
            <w:tcW w:w="3279" w:type="pct"/>
            <w:tcBorders>
              <w:top w:val="single" w:color="auto" w:sz="4" w:space="0"/>
              <w:left w:val="single" w:color="auto" w:sz="4" w:space="0"/>
              <w:bottom w:val="single" w:color="auto" w:sz="4" w:space="0"/>
              <w:right w:val="single" w:color="auto" w:sz="4" w:space="0"/>
            </w:tcBorders>
            <w:vAlign w:val="center"/>
          </w:tcPr>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投资控制方案包括但不限于</w:t>
            </w:r>
            <w:r>
              <w:rPr>
                <w:rFonts w:hint="eastAsia" w:ascii="仿宋_GB2312" w:eastAsia="仿宋_GB2312"/>
                <w:color w:val="000000" w:themeColor="text1"/>
                <w14:textFill>
                  <w14:solidFill>
                    <w14:schemeClr w14:val="tx1"/>
                  </w14:solidFill>
                </w14:textFill>
              </w:rPr>
              <w:t>监理投资控制措施、监理投资控制要点等内容，进行综合评分：</w:t>
            </w:r>
          </w:p>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w:t>
            </w:r>
            <w:r>
              <w:rPr>
                <w:rFonts w:ascii="仿宋_GB2312" w:eastAsia="仿宋_GB2312"/>
                <w:color w:val="000000" w:themeColor="text1"/>
                <w14:textFill>
                  <w14:solidFill>
                    <w14:schemeClr w14:val="tx1"/>
                  </w14:solidFill>
                </w14:textFill>
              </w:rPr>
              <w:t>具有明确的</w:t>
            </w:r>
            <w:r>
              <w:rPr>
                <w:rFonts w:hint="eastAsia" w:ascii="仿宋_GB2312" w:eastAsia="仿宋_GB2312"/>
                <w:color w:val="000000" w:themeColor="text1"/>
                <w14:textFill>
                  <w14:solidFill>
                    <w14:schemeClr w14:val="tx1"/>
                  </w14:solidFill>
                </w14:textFill>
              </w:rPr>
              <w:t>事前、事中、事后监理投资控制措施且合理的得2分；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2.具有明确且合理可行的监理投资控制要点的得2分；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3.</w:t>
            </w:r>
            <w:r>
              <w:rPr>
                <w:rFonts w:ascii="仿宋_GB2312" w:hAnsi="宋体" w:eastAsia="仿宋_GB2312" w:cs="仿宋_GB2312"/>
                <w:color w:val="000000" w:themeColor="text1"/>
                <w:sz w:val="24"/>
                <w14:textFill>
                  <w14:solidFill>
                    <w14:schemeClr w14:val="tx1"/>
                  </w14:solidFill>
                </w14:textFill>
              </w:rPr>
              <w:t>整体进度控制方案全面详实，完全满足服务需求的得2分；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4.</w:t>
            </w:r>
            <w:r>
              <w:rPr>
                <w:rFonts w:ascii="仿宋_GB2312" w:hAnsi="宋体" w:eastAsia="仿宋_GB2312" w:cs="仿宋_GB2312"/>
                <w:color w:val="000000" w:themeColor="text1"/>
                <w:sz w:val="24"/>
                <w14:textFill>
                  <w14:solidFill>
                    <w14:schemeClr w14:val="tx1"/>
                  </w14:solidFill>
                </w14:textFill>
              </w:rPr>
              <w:t>整体方案不全面，与服务需求不相符不得分。</w:t>
            </w:r>
          </w:p>
        </w:tc>
        <w:tc>
          <w:tcPr>
            <w:tcW w:w="4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pct"/>
            <w:vMerge w:val="continue"/>
            <w:tcBorders>
              <w:left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p>
        </w:tc>
        <w:tc>
          <w:tcPr>
            <w:tcW w:w="653" w:type="pct"/>
            <w:tcBorders>
              <w:top w:val="single" w:color="auto" w:sz="4" w:space="0"/>
              <w:left w:val="single" w:color="auto" w:sz="4" w:space="0"/>
              <w:right w:val="single" w:color="auto" w:sz="4" w:space="0"/>
            </w:tcBorders>
            <w:vAlign w:val="center"/>
          </w:tcPr>
          <w:p>
            <w:pPr>
              <w:pStyle w:val="45"/>
              <w:snapToGrid w:val="0"/>
              <w:spacing w:line="288" w:lineRule="auto"/>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变更控制措施</w:t>
            </w:r>
          </w:p>
        </w:tc>
        <w:tc>
          <w:tcPr>
            <w:tcW w:w="3279" w:type="pct"/>
            <w:tcBorders>
              <w:top w:val="single" w:color="auto" w:sz="4" w:space="0"/>
              <w:left w:val="single" w:color="auto" w:sz="4" w:space="0"/>
              <w:bottom w:val="single" w:color="auto" w:sz="4" w:space="0"/>
              <w:right w:val="single" w:color="auto" w:sz="4" w:space="0"/>
            </w:tcBorders>
            <w:vAlign w:val="center"/>
          </w:tcPr>
          <w:p>
            <w:pPr>
              <w:pStyle w:val="45"/>
              <w:snapToGrid w:val="0"/>
              <w:spacing w:line="288" w:lineRule="auto"/>
              <w:ind w:firstLine="480" w:firstLineChars="200"/>
              <w:rPr>
                <w:rFonts w:ascii="仿宋_GB2312" w:eastAsia="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变更控制措施包括但不限于</w:t>
            </w:r>
            <w:r>
              <w:rPr>
                <w:rFonts w:hint="eastAsia" w:ascii="仿宋_GB2312" w:eastAsia="仿宋_GB2312"/>
                <w:color w:val="000000" w:themeColor="text1"/>
                <w14:textFill>
                  <w14:solidFill>
                    <w14:schemeClr w14:val="tx1"/>
                  </w14:solidFill>
                </w14:textFill>
              </w:rPr>
              <w:t>变更识别、变更管理、变更审批及流程等内容，进行综合评分：</w:t>
            </w:r>
          </w:p>
          <w:p>
            <w:pPr>
              <w:snapToGrid w:val="0"/>
              <w:spacing w:line="288" w:lineRule="auto"/>
              <w:ind w:firstLine="537" w:firstLineChars="224"/>
              <w:jc w:val="left"/>
              <w:textAlignment w:val="center"/>
              <w:rPr>
                <w:rFonts w:ascii="仿宋_GB2312" w:hAnsi="宋体" w:eastAsia="仿宋_GB2312" w:cs="仿宋_GB2312"/>
                <w:color w:val="auto"/>
                <w:sz w:val="24"/>
              </w:rPr>
            </w:pPr>
            <w:r>
              <w:rPr>
                <w:rFonts w:hint="eastAsia" w:ascii="仿宋_GB2312" w:hAnsi="宋体" w:eastAsia="仿宋_GB2312" w:cs="仿宋_GB2312"/>
                <w:color w:val="000000" w:themeColor="text1"/>
                <w:sz w:val="24"/>
                <w14:textFill>
                  <w14:solidFill>
                    <w14:schemeClr w14:val="tx1"/>
                  </w14:solidFill>
                </w14:textFill>
              </w:rPr>
              <w:t>1.</w:t>
            </w:r>
            <w:r>
              <w:rPr>
                <w:rFonts w:ascii="仿宋_GB2312" w:hAnsi="宋体" w:eastAsia="仿宋_GB2312" w:cs="仿宋_GB2312"/>
                <w:color w:val="000000" w:themeColor="text1"/>
                <w:sz w:val="24"/>
                <w14:textFill>
                  <w14:solidFill>
                    <w14:schemeClr w14:val="tx1"/>
                  </w14:solidFill>
                </w14:textFill>
              </w:rPr>
              <w:t>具</w:t>
            </w:r>
            <w:r>
              <w:rPr>
                <w:rFonts w:ascii="仿宋_GB2312" w:hAnsi="宋体" w:eastAsia="仿宋_GB2312" w:cs="仿宋_GB2312"/>
                <w:color w:val="auto"/>
                <w:sz w:val="24"/>
              </w:rPr>
              <w:t>有明确</w:t>
            </w:r>
            <w:r>
              <w:rPr>
                <w:rFonts w:hint="eastAsia" w:ascii="仿宋_GB2312" w:hAnsi="宋体" w:eastAsia="仿宋_GB2312" w:cs="仿宋_GB2312"/>
                <w:color w:val="auto"/>
                <w:sz w:val="24"/>
              </w:rPr>
              <w:t>合理</w:t>
            </w:r>
            <w:r>
              <w:rPr>
                <w:rFonts w:ascii="仿宋_GB2312" w:hAnsi="宋体" w:eastAsia="仿宋_GB2312" w:cs="仿宋_GB2312"/>
                <w:color w:val="auto"/>
                <w:sz w:val="24"/>
              </w:rPr>
              <w:t>的</w:t>
            </w:r>
            <w:r>
              <w:rPr>
                <w:rFonts w:hint="eastAsia" w:ascii="仿宋_GB2312" w:hAnsi="宋体" w:eastAsia="仿宋_GB2312" w:cs="仿宋_GB2312"/>
                <w:color w:val="auto"/>
                <w:sz w:val="24"/>
              </w:rPr>
              <w:t>变更识别措施得1分；</w:t>
            </w:r>
          </w:p>
          <w:p>
            <w:pPr>
              <w:snapToGrid w:val="0"/>
              <w:spacing w:line="288" w:lineRule="auto"/>
              <w:ind w:firstLine="537" w:firstLineChars="224"/>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sz w:val="24"/>
              </w:rPr>
              <w:t>2.具有</w:t>
            </w:r>
            <w:r>
              <w:rPr>
                <w:rFonts w:hint="eastAsia" w:ascii="仿宋_GB2312" w:eastAsia="仿宋_GB2312"/>
                <w:color w:val="auto"/>
                <w:kern w:val="0"/>
                <w:sz w:val="24"/>
              </w:rPr>
              <w:t>合理可行的变更管理措施得1分；</w:t>
            </w:r>
          </w:p>
          <w:p>
            <w:pPr>
              <w:snapToGrid w:val="0"/>
              <w:spacing w:line="288" w:lineRule="auto"/>
              <w:ind w:firstLine="537" w:firstLineChars="224"/>
              <w:jc w:val="left"/>
              <w:textAlignment w:val="center"/>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s="仿宋_GB2312"/>
                <w:color w:val="auto"/>
                <w:sz w:val="24"/>
              </w:rPr>
              <w:t>3.具有</w:t>
            </w:r>
            <w:r>
              <w:rPr>
                <w:rFonts w:hint="eastAsia" w:ascii="仿宋_GB2312" w:hAnsi="宋体" w:eastAsia="仿宋_GB2312" w:cs="仿宋_GB2312"/>
                <w:color w:val="auto"/>
                <w:sz w:val="24"/>
                <w:lang w:val="en-US" w:eastAsia="zh-CN"/>
              </w:rPr>
              <w:t>科学</w:t>
            </w:r>
            <w:r>
              <w:rPr>
                <w:rFonts w:hint="eastAsia" w:ascii="仿宋_GB2312" w:eastAsia="仿宋_GB2312"/>
                <w:color w:val="auto"/>
                <w:kern w:val="0"/>
                <w:sz w:val="24"/>
              </w:rPr>
              <w:t>可行的变</w:t>
            </w:r>
            <w:r>
              <w:rPr>
                <w:rFonts w:hint="eastAsia" w:ascii="仿宋_GB2312" w:eastAsia="仿宋_GB2312"/>
                <w:color w:val="000000" w:themeColor="text1"/>
                <w:kern w:val="0"/>
                <w:sz w:val="24"/>
                <w14:textFill>
                  <w14:solidFill>
                    <w14:schemeClr w14:val="tx1"/>
                  </w14:solidFill>
                </w14:textFill>
              </w:rPr>
              <w:t>更审批及流程措施得1分；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4.</w:t>
            </w:r>
            <w:r>
              <w:rPr>
                <w:rFonts w:ascii="仿宋_GB2312" w:hAnsi="宋体" w:eastAsia="仿宋_GB2312" w:cs="仿宋_GB2312"/>
                <w:color w:val="000000" w:themeColor="text1"/>
                <w:sz w:val="24"/>
                <w14:textFill>
                  <w14:solidFill>
                    <w14:schemeClr w14:val="tx1"/>
                  </w14:solidFill>
                </w14:textFill>
              </w:rPr>
              <w:t>整体变更控制措施全面详实，完全满足服务需求的得2分；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5.</w:t>
            </w:r>
            <w:r>
              <w:rPr>
                <w:rFonts w:ascii="仿宋_GB2312" w:hAnsi="宋体" w:eastAsia="仿宋_GB2312" w:cs="仿宋_GB2312"/>
                <w:color w:val="000000" w:themeColor="text1"/>
                <w:sz w:val="24"/>
                <w14:textFill>
                  <w14:solidFill>
                    <w14:schemeClr w14:val="tx1"/>
                  </w14:solidFill>
                </w14:textFill>
              </w:rPr>
              <w:t>整体方案不全面，与服务需求不相符不得分。</w:t>
            </w:r>
          </w:p>
        </w:tc>
        <w:tc>
          <w:tcPr>
            <w:tcW w:w="4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665" w:type="pct"/>
            <w:vMerge w:val="continue"/>
            <w:tcBorders>
              <w:left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p>
        </w:tc>
        <w:tc>
          <w:tcPr>
            <w:tcW w:w="653" w:type="pct"/>
            <w:tcBorders>
              <w:top w:val="single" w:color="auto" w:sz="4" w:space="0"/>
              <w:left w:val="single" w:color="auto" w:sz="4" w:space="0"/>
              <w:bottom w:val="single" w:color="auto" w:sz="4" w:space="0"/>
              <w:right w:val="single" w:color="auto" w:sz="4" w:space="0"/>
            </w:tcBorders>
            <w:vAlign w:val="center"/>
          </w:tcPr>
          <w:p>
            <w:pPr>
              <w:pStyle w:val="45"/>
              <w:snapToGrid w:val="0"/>
              <w:spacing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合同及信息管理</w:t>
            </w:r>
          </w:p>
        </w:tc>
        <w:tc>
          <w:tcPr>
            <w:tcW w:w="3279" w:type="pct"/>
            <w:tcBorders>
              <w:top w:val="single" w:color="auto" w:sz="4" w:space="0"/>
              <w:left w:val="single" w:color="auto" w:sz="4" w:space="0"/>
              <w:bottom w:val="single" w:color="auto" w:sz="4" w:space="0"/>
              <w:right w:val="single" w:color="auto" w:sz="4" w:space="0"/>
            </w:tcBorders>
            <w:vAlign w:val="center"/>
          </w:tcPr>
          <w:p>
            <w:pPr>
              <w:pStyle w:val="45"/>
              <w:snapToGrid w:val="0"/>
              <w:spacing w:line="288" w:lineRule="auto"/>
              <w:ind w:firstLine="48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合同及信息管理</w:t>
            </w:r>
            <w:r>
              <w:rPr>
                <w:rFonts w:hint="eastAsia" w:ascii="仿宋_GB2312" w:hAnsi="宋体" w:eastAsia="仿宋_GB2312" w:cs="仿宋_GB2312"/>
                <w:color w:val="000000" w:themeColor="text1"/>
                <w14:textFill>
                  <w14:solidFill>
                    <w14:schemeClr w14:val="tx1"/>
                  </w14:solidFill>
                </w14:textFill>
              </w:rPr>
              <w:t>包括但不限于合同履行管理、合同支付及索赔管理、信息管理方法、实施和验收阶段的信息管理等内容，进行综合评分：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1.</w:t>
            </w:r>
            <w:r>
              <w:rPr>
                <w:rFonts w:ascii="仿宋_GB2312" w:hAnsi="宋体" w:eastAsia="仿宋_GB2312" w:cs="仿宋_GB2312"/>
                <w:color w:val="000000" w:themeColor="text1"/>
                <w:sz w:val="24"/>
                <w14:textFill>
                  <w14:solidFill>
                    <w14:schemeClr w14:val="tx1"/>
                  </w14:solidFill>
                </w14:textFill>
              </w:rPr>
              <w:t>具有明确的</w:t>
            </w:r>
            <w:r>
              <w:rPr>
                <w:rFonts w:hint="eastAsia" w:ascii="仿宋_GB2312" w:hAnsi="宋体" w:eastAsia="仿宋_GB2312" w:cs="仿宋_GB2312"/>
                <w:color w:val="000000" w:themeColor="text1"/>
                <w:sz w:val="24"/>
                <w14:textFill>
                  <w14:solidFill>
                    <w14:schemeClr w14:val="tx1"/>
                  </w14:solidFill>
                </w14:textFill>
              </w:rPr>
              <w:t>合同履行管理</w:t>
            </w:r>
            <w:r>
              <w:rPr>
                <w:rFonts w:ascii="仿宋_GB2312" w:hAnsi="宋体" w:eastAsia="仿宋_GB2312" w:cs="仿宋_GB2312"/>
                <w:color w:val="000000" w:themeColor="text1"/>
                <w:sz w:val="24"/>
                <w14:textFill>
                  <w14:solidFill>
                    <w14:schemeClr w14:val="tx1"/>
                  </w14:solidFill>
                </w14:textFill>
              </w:rPr>
              <w:t>且内容清晰的得1分；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2.</w:t>
            </w:r>
            <w:r>
              <w:rPr>
                <w:rFonts w:ascii="仿宋_GB2312" w:hAnsi="宋体" w:eastAsia="仿宋_GB2312" w:cs="仿宋_GB2312"/>
                <w:color w:val="000000" w:themeColor="text1"/>
                <w:sz w:val="24"/>
                <w14:textFill>
                  <w14:solidFill>
                    <w14:schemeClr w14:val="tx1"/>
                  </w14:solidFill>
                </w14:textFill>
              </w:rPr>
              <w:t>具有明确的</w:t>
            </w:r>
            <w:r>
              <w:rPr>
                <w:rFonts w:hint="eastAsia" w:ascii="仿宋_GB2312" w:hAnsi="宋体" w:eastAsia="仿宋_GB2312" w:cs="仿宋_GB2312"/>
                <w:color w:val="000000" w:themeColor="text1"/>
                <w:sz w:val="24"/>
                <w14:textFill>
                  <w14:solidFill>
                    <w14:schemeClr w14:val="tx1"/>
                  </w14:solidFill>
                </w14:textFill>
              </w:rPr>
              <w:t>合同支付及索赔管理</w:t>
            </w:r>
            <w:r>
              <w:rPr>
                <w:rFonts w:ascii="仿宋_GB2312" w:hAnsi="宋体" w:eastAsia="仿宋_GB2312" w:cs="仿宋_GB2312"/>
                <w:color w:val="000000" w:themeColor="text1"/>
                <w:sz w:val="24"/>
                <w14:textFill>
                  <w14:solidFill>
                    <w14:schemeClr w14:val="tx1"/>
                  </w14:solidFill>
                </w14:textFill>
              </w:rPr>
              <w:t>且内容合理的得1分；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3.</w:t>
            </w:r>
            <w:r>
              <w:rPr>
                <w:rFonts w:ascii="仿宋_GB2312" w:hAnsi="宋体" w:eastAsia="仿宋_GB2312" w:cs="仿宋_GB2312"/>
                <w:color w:val="000000" w:themeColor="text1"/>
                <w:sz w:val="24"/>
                <w14:textFill>
                  <w14:solidFill>
                    <w14:schemeClr w14:val="tx1"/>
                  </w14:solidFill>
                </w14:textFill>
              </w:rPr>
              <w:t>具有明确的</w:t>
            </w:r>
            <w:r>
              <w:rPr>
                <w:rFonts w:hint="eastAsia" w:ascii="仿宋_GB2312" w:hAnsi="宋体" w:eastAsia="仿宋_GB2312" w:cs="仿宋_GB2312"/>
                <w:color w:val="000000" w:themeColor="text1"/>
                <w:sz w:val="24"/>
                <w14:textFill>
                  <w14:solidFill>
                    <w14:schemeClr w14:val="tx1"/>
                  </w14:solidFill>
                </w14:textFill>
              </w:rPr>
              <w:t>信息管理方法</w:t>
            </w:r>
            <w:r>
              <w:rPr>
                <w:rFonts w:ascii="仿宋_GB2312" w:hAnsi="宋体" w:eastAsia="仿宋_GB2312" w:cs="仿宋_GB2312"/>
                <w:color w:val="000000" w:themeColor="text1"/>
                <w:sz w:val="24"/>
                <w14:textFill>
                  <w14:solidFill>
                    <w14:schemeClr w14:val="tx1"/>
                  </w14:solidFill>
                </w14:textFill>
              </w:rPr>
              <w:t>且内容科学合理的得1分；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4.</w:t>
            </w:r>
            <w:r>
              <w:rPr>
                <w:rFonts w:ascii="仿宋_GB2312" w:hAnsi="宋体" w:eastAsia="仿宋_GB2312" w:cs="仿宋_GB2312"/>
                <w:color w:val="000000" w:themeColor="text1"/>
                <w:sz w:val="24"/>
                <w14:textFill>
                  <w14:solidFill>
                    <w14:schemeClr w14:val="tx1"/>
                  </w14:solidFill>
                </w14:textFill>
              </w:rPr>
              <w:t>具有明确的</w:t>
            </w:r>
            <w:r>
              <w:rPr>
                <w:rFonts w:hint="eastAsia" w:ascii="仿宋_GB2312" w:hAnsi="宋体" w:eastAsia="仿宋_GB2312" w:cs="仿宋_GB2312"/>
                <w:color w:val="000000" w:themeColor="text1"/>
                <w:sz w:val="24"/>
                <w14:textFill>
                  <w14:solidFill>
                    <w14:schemeClr w14:val="tx1"/>
                  </w14:solidFill>
                </w14:textFill>
              </w:rPr>
              <w:t>实施和验收阶段的信息管理且</w:t>
            </w:r>
            <w:r>
              <w:rPr>
                <w:rFonts w:ascii="仿宋_GB2312" w:hAnsi="宋体" w:eastAsia="仿宋_GB2312" w:cs="仿宋_GB2312"/>
                <w:color w:val="000000" w:themeColor="text1"/>
                <w:sz w:val="24"/>
                <w14:textFill>
                  <w14:solidFill>
                    <w14:schemeClr w14:val="tx1"/>
                  </w14:solidFill>
                </w14:textFill>
              </w:rPr>
              <w:t>内容</w:t>
            </w:r>
            <w:r>
              <w:rPr>
                <w:rFonts w:hint="eastAsia" w:ascii="仿宋_GB2312" w:hAnsi="宋体" w:eastAsia="仿宋_GB2312" w:cs="仿宋_GB2312"/>
                <w:color w:val="000000" w:themeColor="text1"/>
                <w:sz w:val="24"/>
                <w14:textFill>
                  <w14:solidFill>
                    <w14:schemeClr w14:val="tx1"/>
                  </w14:solidFill>
                </w14:textFill>
              </w:rPr>
              <w:t>科学可行</w:t>
            </w:r>
            <w:r>
              <w:rPr>
                <w:rFonts w:ascii="仿宋_GB2312" w:hAnsi="宋体" w:eastAsia="仿宋_GB2312" w:cs="仿宋_GB2312"/>
                <w:color w:val="000000" w:themeColor="text1"/>
                <w:sz w:val="24"/>
                <w14:textFill>
                  <w14:solidFill>
                    <w14:schemeClr w14:val="tx1"/>
                  </w14:solidFill>
                </w14:textFill>
              </w:rPr>
              <w:t>的得1分</w:t>
            </w:r>
            <w:r>
              <w:rPr>
                <w:rFonts w:hint="eastAsia" w:ascii="仿宋_GB2312" w:hAnsi="宋体" w:eastAsia="仿宋_GB2312" w:cs="仿宋_GB2312"/>
                <w:color w:val="000000" w:themeColor="text1"/>
                <w:sz w:val="24"/>
                <w14:textFill>
                  <w14:solidFill>
                    <w14:schemeClr w14:val="tx1"/>
                  </w14:solidFill>
                </w14:textFill>
              </w:rPr>
              <w:t>；</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5.</w:t>
            </w:r>
            <w:r>
              <w:rPr>
                <w:rFonts w:ascii="仿宋_GB2312" w:hAnsi="宋体" w:eastAsia="仿宋_GB2312" w:cs="仿宋_GB2312"/>
                <w:color w:val="000000" w:themeColor="text1"/>
                <w:sz w:val="24"/>
                <w14:textFill>
                  <w14:solidFill>
                    <w14:schemeClr w14:val="tx1"/>
                  </w14:solidFill>
                </w14:textFill>
              </w:rPr>
              <w:t>整体合同及信息管理</w:t>
            </w:r>
            <w:r>
              <w:rPr>
                <w:rFonts w:hint="eastAsia" w:ascii="仿宋_GB2312" w:hAnsi="宋体" w:eastAsia="仿宋_GB2312" w:cs="仿宋_GB2312"/>
                <w:color w:val="000000" w:themeColor="text1"/>
                <w:sz w:val="24"/>
                <w14:textFill>
                  <w14:solidFill>
                    <w14:schemeClr w14:val="tx1"/>
                  </w14:solidFill>
                </w14:textFill>
              </w:rPr>
              <w:t>内容</w:t>
            </w:r>
            <w:r>
              <w:rPr>
                <w:rFonts w:ascii="仿宋_GB2312" w:hAnsi="宋体" w:eastAsia="仿宋_GB2312" w:cs="仿宋_GB2312"/>
                <w:color w:val="000000" w:themeColor="text1"/>
                <w:sz w:val="24"/>
                <w14:textFill>
                  <w14:solidFill>
                    <w14:schemeClr w14:val="tx1"/>
                  </w14:solidFill>
                </w14:textFill>
              </w:rPr>
              <w:t>全面详实，完全满足服务需求的得2分；</w:t>
            </w:r>
          </w:p>
          <w:p>
            <w:pPr>
              <w:pStyle w:val="45"/>
              <w:snapToGrid w:val="0"/>
              <w:spacing w:line="288" w:lineRule="auto"/>
              <w:ind w:firstLine="480" w:firstLineChars="200"/>
              <w:rPr>
                <w:rFonts w:ascii="仿宋_GB2312" w:hAnsi="仿宋"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6.</w:t>
            </w:r>
            <w:r>
              <w:rPr>
                <w:rFonts w:ascii="仿宋_GB2312" w:hAnsi="宋体" w:eastAsia="仿宋_GB2312" w:cs="仿宋_GB2312"/>
                <w:color w:val="000000" w:themeColor="text1"/>
                <w14:textFill>
                  <w14:solidFill>
                    <w14:schemeClr w14:val="tx1"/>
                  </w14:solidFill>
                </w14:textFill>
              </w:rPr>
              <w:t>整体方案不全面，与服务需求不相符不得分。</w:t>
            </w:r>
          </w:p>
        </w:tc>
        <w:tc>
          <w:tcPr>
            <w:tcW w:w="4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pct"/>
            <w:vMerge w:val="continue"/>
            <w:tcBorders>
              <w:left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p>
        </w:tc>
        <w:tc>
          <w:tcPr>
            <w:tcW w:w="653" w:type="pct"/>
            <w:tcBorders>
              <w:top w:val="single" w:color="auto" w:sz="4" w:space="0"/>
              <w:left w:val="single" w:color="auto" w:sz="4" w:space="0"/>
              <w:right w:val="single" w:color="auto" w:sz="4" w:space="0"/>
            </w:tcBorders>
            <w:vAlign w:val="center"/>
          </w:tcPr>
          <w:p>
            <w:pPr>
              <w:pStyle w:val="45"/>
              <w:snapToGrid w:val="0"/>
              <w:spacing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安全管理方案</w:t>
            </w:r>
          </w:p>
        </w:tc>
        <w:tc>
          <w:tcPr>
            <w:tcW w:w="3279" w:type="pct"/>
            <w:tcBorders>
              <w:top w:val="single" w:color="auto" w:sz="4" w:space="0"/>
              <w:left w:val="single" w:color="auto" w:sz="4" w:space="0"/>
              <w:bottom w:val="single" w:color="auto" w:sz="4" w:space="0"/>
              <w:right w:val="single" w:color="auto" w:sz="4" w:space="0"/>
            </w:tcBorders>
            <w:vAlign w:val="center"/>
          </w:tcPr>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eastAsia="仿宋_GB2312" w:cs="Arial"/>
                <w:color w:val="000000" w:themeColor="text1"/>
                <w:sz w:val="24"/>
                <w14:textFill>
                  <w14:solidFill>
                    <w14:schemeClr w14:val="tx1"/>
                  </w14:solidFill>
                </w14:textFill>
              </w:rPr>
              <w:t>安全管理方案</w:t>
            </w:r>
            <w:r>
              <w:rPr>
                <w:rFonts w:hint="eastAsia" w:ascii="仿宋_GB2312" w:hAnsi="宋体" w:eastAsia="仿宋_GB2312" w:cs="仿宋_GB2312"/>
                <w:color w:val="000000" w:themeColor="text1"/>
                <w:sz w:val="24"/>
                <w14:textFill>
                  <w14:solidFill>
                    <w14:schemeClr w14:val="tx1"/>
                  </w14:solidFill>
                </w14:textFill>
              </w:rPr>
              <w:t>包括但不限于施工安全管理、信息安全管理等内容，进行综合评分：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1.</w:t>
            </w:r>
            <w:r>
              <w:rPr>
                <w:rFonts w:ascii="仿宋_GB2312" w:hAnsi="宋体" w:eastAsia="仿宋_GB2312" w:cs="仿宋_GB2312"/>
                <w:color w:val="000000" w:themeColor="text1"/>
                <w:sz w:val="24"/>
                <w14:textFill>
                  <w14:solidFill>
                    <w14:schemeClr w14:val="tx1"/>
                  </w14:solidFill>
                </w14:textFill>
              </w:rPr>
              <w:t>具有明确的</w:t>
            </w:r>
            <w:r>
              <w:rPr>
                <w:rFonts w:hint="eastAsia" w:ascii="仿宋_GB2312" w:hAnsi="宋体" w:eastAsia="仿宋_GB2312" w:cs="仿宋_GB2312"/>
                <w:color w:val="000000" w:themeColor="text1"/>
                <w:sz w:val="24"/>
                <w14:textFill>
                  <w14:solidFill>
                    <w14:schemeClr w14:val="tx1"/>
                  </w14:solidFill>
                </w14:textFill>
              </w:rPr>
              <w:t>施工安全管理措施</w:t>
            </w:r>
            <w:r>
              <w:rPr>
                <w:rFonts w:ascii="仿宋_GB2312" w:hAnsi="宋体" w:eastAsia="仿宋_GB2312" w:cs="仿宋_GB2312"/>
                <w:color w:val="000000" w:themeColor="text1"/>
                <w:sz w:val="24"/>
                <w14:textFill>
                  <w14:solidFill>
                    <w14:schemeClr w14:val="tx1"/>
                  </w14:solidFill>
                </w14:textFill>
              </w:rPr>
              <w:t>且内容</w:t>
            </w:r>
            <w:r>
              <w:rPr>
                <w:rFonts w:hint="eastAsia" w:ascii="仿宋_GB2312" w:hAnsi="宋体" w:eastAsia="仿宋_GB2312" w:cs="仿宋_GB2312"/>
                <w:color w:val="000000" w:themeColor="text1"/>
                <w:sz w:val="24"/>
                <w14:textFill>
                  <w14:solidFill>
                    <w14:schemeClr w14:val="tx1"/>
                  </w14:solidFill>
                </w14:textFill>
              </w:rPr>
              <w:t>合理</w:t>
            </w:r>
            <w:r>
              <w:rPr>
                <w:rFonts w:ascii="仿宋_GB2312" w:hAnsi="宋体" w:eastAsia="仿宋_GB2312" w:cs="仿宋_GB2312"/>
                <w:color w:val="000000" w:themeColor="text1"/>
                <w:sz w:val="24"/>
                <w14:textFill>
                  <w14:solidFill>
                    <w14:schemeClr w14:val="tx1"/>
                  </w14:solidFill>
                </w14:textFill>
              </w:rPr>
              <w:t>的得</w:t>
            </w:r>
            <w:r>
              <w:rPr>
                <w:rFonts w:hint="eastAsia" w:ascii="仿宋_GB2312" w:hAnsi="宋体" w:eastAsia="仿宋_GB2312" w:cs="仿宋_GB2312"/>
                <w:color w:val="000000" w:themeColor="text1"/>
                <w:sz w:val="24"/>
                <w14:textFill>
                  <w14:solidFill>
                    <w14:schemeClr w14:val="tx1"/>
                  </w14:solidFill>
                </w14:textFill>
              </w:rPr>
              <w:t>2</w:t>
            </w:r>
            <w:r>
              <w:rPr>
                <w:rFonts w:ascii="仿宋_GB2312" w:hAnsi="宋体" w:eastAsia="仿宋_GB2312" w:cs="仿宋_GB2312"/>
                <w:color w:val="000000" w:themeColor="text1"/>
                <w:sz w:val="24"/>
                <w14:textFill>
                  <w14:solidFill>
                    <w14:schemeClr w14:val="tx1"/>
                  </w14:solidFill>
                </w14:textFill>
              </w:rPr>
              <w:t>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2.</w:t>
            </w:r>
            <w:r>
              <w:rPr>
                <w:rFonts w:ascii="仿宋_GB2312" w:hAnsi="宋体" w:eastAsia="仿宋_GB2312" w:cs="仿宋_GB2312"/>
                <w:color w:val="000000" w:themeColor="text1"/>
                <w:sz w:val="24"/>
                <w14:textFill>
                  <w14:solidFill>
                    <w14:schemeClr w14:val="tx1"/>
                  </w14:solidFill>
                </w14:textFill>
              </w:rPr>
              <w:t>具有明确的</w:t>
            </w:r>
            <w:r>
              <w:rPr>
                <w:rFonts w:hint="eastAsia" w:ascii="仿宋_GB2312" w:hAnsi="宋体" w:eastAsia="仿宋_GB2312" w:cs="仿宋_GB2312"/>
                <w:color w:val="000000" w:themeColor="text1"/>
                <w:sz w:val="24"/>
                <w14:textFill>
                  <w14:solidFill>
                    <w14:schemeClr w14:val="tx1"/>
                  </w14:solidFill>
                </w14:textFill>
              </w:rPr>
              <w:t>信息安全管理措施</w:t>
            </w:r>
            <w:r>
              <w:rPr>
                <w:rFonts w:ascii="仿宋_GB2312" w:hAnsi="宋体" w:eastAsia="仿宋_GB2312" w:cs="仿宋_GB2312"/>
                <w:color w:val="000000" w:themeColor="text1"/>
                <w:sz w:val="24"/>
                <w14:textFill>
                  <w14:solidFill>
                    <w14:schemeClr w14:val="tx1"/>
                  </w14:solidFill>
                </w14:textFill>
              </w:rPr>
              <w:t>且内</w:t>
            </w:r>
            <w:r>
              <w:rPr>
                <w:rFonts w:ascii="仿宋_GB2312" w:hAnsi="宋体" w:eastAsia="仿宋_GB2312" w:cs="仿宋_GB2312"/>
                <w:color w:val="auto"/>
                <w:sz w:val="24"/>
              </w:rPr>
              <w:t>容</w:t>
            </w:r>
            <w:r>
              <w:rPr>
                <w:rFonts w:hint="eastAsia" w:ascii="仿宋_GB2312" w:hAnsi="宋体" w:eastAsia="仿宋_GB2312" w:cs="仿宋_GB2312"/>
                <w:color w:val="auto"/>
                <w:sz w:val="24"/>
                <w:lang w:val="en-US" w:eastAsia="zh-CN"/>
              </w:rPr>
              <w:t>可行</w:t>
            </w:r>
            <w:r>
              <w:rPr>
                <w:rFonts w:ascii="仿宋_GB2312" w:hAnsi="宋体" w:eastAsia="仿宋_GB2312" w:cs="仿宋_GB2312"/>
                <w:color w:val="auto"/>
                <w:sz w:val="24"/>
              </w:rPr>
              <w:t>的</w:t>
            </w:r>
            <w:r>
              <w:rPr>
                <w:rFonts w:ascii="仿宋_GB2312" w:hAnsi="宋体" w:eastAsia="仿宋_GB2312" w:cs="仿宋_GB2312"/>
                <w:color w:val="000000" w:themeColor="text1"/>
                <w:sz w:val="24"/>
                <w14:textFill>
                  <w14:solidFill>
                    <w14:schemeClr w14:val="tx1"/>
                  </w14:solidFill>
                </w14:textFill>
              </w:rPr>
              <w:t>得</w:t>
            </w:r>
            <w:r>
              <w:rPr>
                <w:rFonts w:hint="eastAsia" w:ascii="仿宋_GB2312" w:hAnsi="宋体" w:eastAsia="仿宋_GB2312" w:cs="仿宋_GB2312"/>
                <w:color w:val="000000" w:themeColor="text1"/>
                <w:sz w:val="24"/>
                <w14:textFill>
                  <w14:solidFill>
                    <w14:schemeClr w14:val="tx1"/>
                  </w14:solidFill>
                </w14:textFill>
              </w:rPr>
              <w:t>2</w:t>
            </w:r>
            <w:r>
              <w:rPr>
                <w:rFonts w:ascii="仿宋_GB2312" w:hAnsi="宋体" w:eastAsia="仿宋_GB2312" w:cs="仿宋_GB2312"/>
                <w:color w:val="000000" w:themeColor="text1"/>
                <w:sz w:val="24"/>
                <w14:textFill>
                  <w14:solidFill>
                    <w14:schemeClr w14:val="tx1"/>
                  </w14:solidFill>
                </w14:textFill>
              </w:rPr>
              <w:t>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3.</w:t>
            </w:r>
            <w:r>
              <w:rPr>
                <w:rFonts w:ascii="仿宋_GB2312" w:hAnsi="宋体" w:eastAsia="仿宋_GB2312" w:cs="仿宋_GB2312"/>
                <w:color w:val="000000" w:themeColor="text1"/>
                <w:sz w:val="24"/>
                <w14:textFill>
                  <w14:solidFill>
                    <w14:schemeClr w14:val="tx1"/>
                  </w14:solidFill>
                </w14:textFill>
              </w:rPr>
              <w:t>整体安全管理方案全面详实，完全满足服务需求的得2分；</w:t>
            </w:r>
          </w:p>
          <w:p>
            <w:pPr>
              <w:widowControl/>
              <w:adjustRightInd w:val="0"/>
              <w:snapToGrid w:val="0"/>
              <w:spacing w:line="288" w:lineRule="auto"/>
              <w:ind w:firstLine="480" w:firstLineChars="200"/>
              <w:rPr>
                <w:rFonts w:ascii="仿宋_GB2312" w:eastAsia="仿宋_GB2312" w:cs="Arial"/>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4.</w:t>
            </w:r>
            <w:r>
              <w:rPr>
                <w:rFonts w:ascii="仿宋_GB2312" w:hAnsi="宋体" w:eastAsia="仿宋_GB2312" w:cs="仿宋_GB2312"/>
                <w:color w:val="000000" w:themeColor="text1"/>
                <w:sz w:val="24"/>
                <w14:textFill>
                  <w14:solidFill>
                    <w14:schemeClr w14:val="tx1"/>
                  </w14:solidFill>
                </w14:textFill>
              </w:rPr>
              <w:t>整体方案不全面，与服务需求不相符不得分。</w:t>
            </w:r>
          </w:p>
        </w:tc>
        <w:tc>
          <w:tcPr>
            <w:tcW w:w="4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665" w:type="pct"/>
            <w:vMerge w:val="continue"/>
            <w:tcBorders>
              <w:left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p>
        </w:tc>
        <w:tc>
          <w:tcPr>
            <w:tcW w:w="65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8"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监理软件测试方案</w:t>
            </w:r>
          </w:p>
        </w:tc>
        <w:tc>
          <w:tcPr>
            <w:tcW w:w="3279" w:type="pct"/>
            <w:tcBorders>
              <w:top w:val="single" w:color="auto" w:sz="4" w:space="0"/>
              <w:left w:val="single" w:color="auto" w:sz="4" w:space="0"/>
              <w:bottom w:val="single" w:color="auto" w:sz="4" w:space="0"/>
              <w:right w:val="single" w:color="auto" w:sz="4" w:space="0"/>
            </w:tcBorders>
            <w:vAlign w:val="center"/>
          </w:tcPr>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监理软件测试方案</w:t>
            </w:r>
            <w:r>
              <w:rPr>
                <w:rFonts w:hint="eastAsia" w:ascii="仿宋_GB2312" w:hAnsi="宋体" w:eastAsia="仿宋_GB2312" w:cs="仿宋_GB2312"/>
                <w:color w:val="000000" w:themeColor="text1"/>
                <w:sz w:val="24"/>
                <w14:textFill>
                  <w14:solidFill>
                    <w14:schemeClr w14:val="tx1"/>
                  </w14:solidFill>
                </w14:textFill>
              </w:rPr>
              <w:t>包括测试依据、功能测试要点、性能测试要点、测试流程等内容，进行综合评分：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1.</w:t>
            </w:r>
            <w:r>
              <w:rPr>
                <w:rFonts w:ascii="仿宋_GB2312" w:hAnsi="宋体" w:eastAsia="仿宋_GB2312" w:cs="仿宋_GB2312"/>
                <w:color w:val="000000" w:themeColor="text1"/>
                <w:sz w:val="24"/>
                <w14:textFill>
                  <w14:solidFill>
                    <w14:schemeClr w14:val="tx1"/>
                  </w14:solidFill>
                </w14:textFill>
              </w:rPr>
              <w:t>具有明确</w:t>
            </w:r>
            <w:r>
              <w:rPr>
                <w:rFonts w:hint="eastAsia" w:ascii="仿宋_GB2312" w:hAnsi="宋体" w:eastAsia="仿宋_GB2312" w:cs="仿宋_GB2312"/>
                <w:color w:val="000000" w:themeColor="text1"/>
                <w:sz w:val="24"/>
                <w14:textFill>
                  <w14:solidFill>
                    <w14:schemeClr w14:val="tx1"/>
                  </w14:solidFill>
                </w14:textFill>
              </w:rPr>
              <w:t>测试依据</w:t>
            </w:r>
            <w:r>
              <w:rPr>
                <w:rFonts w:ascii="仿宋_GB2312" w:hAnsi="宋体" w:eastAsia="仿宋_GB2312" w:cs="仿宋_GB2312"/>
                <w:color w:val="000000" w:themeColor="text1"/>
                <w:sz w:val="24"/>
                <w14:textFill>
                  <w14:solidFill>
                    <w14:schemeClr w14:val="tx1"/>
                  </w14:solidFill>
                </w14:textFill>
              </w:rPr>
              <w:t>的得1分；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2.</w:t>
            </w:r>
            <w:r>
              <w:rPr>
                <w:rFonts w:ascii="仿宋_GB2312" w:hAnsi="宋体" w:eastAsia="仿宋_GB2312" w:cs="仿宋_GB2312"/>
                <w:color w:val="000000" w:themeColor="text1"/>
                <w:sz w:val="24"/>
                <w14:textFill>
                  <w14:solidFill>
                    <w14:schemeClr w14:val="tx1"/>
                  </w14:solidFill>
                </w14:textFill>
              </w:rPr>
              <w:t>具有明确的</w:t>
            </w:r>
            <w:r>
              <w:rPr>
                <w:rFonts w:hint="eastAsia" w:ascii="仿宋_GB2312" w:hAnsi="宋体" w:eastAsia="仿宋_GB2312" w:cs="仿宋_GB2312"/>
                <w:color w:val="000000" w:themeColor="text1"/>
                <w:sz w:val="24"/>
                <w14:textFill>
                  <w14:solidFill>
                    <w14:schemeClr w14:val="tx1"/>
                  </w14:solidFill>
                </w14:textFill>
              </w:rPr>
              <w:t>功能测试要点</w:t>
            </w:r>
            <w:r>
              <w:rPr>
                <w:rFonts w:ascii="仿宋_GB2312" w:hAnsi="宋体" w:eastAsia="仿宋_GB2312" w:cs="仿宋_GB2312"/>
                <w:color w:val="000000" w:themeColor="text1"/>
                <w:sz w:val="24"/>
                <w14:textFill>
                  <w14:solidFill>
                    <w14:schemeClr w14:val="tx1"/>
                  </w14:solidFill>
                </w14:textFill>
              </w:rPr>
              <w:t>且内容合理的得1分；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3.</w:t>
            </w:r>
            <w:r>
              <w:rPr>
                <w:rFonts w:ascii="仿宋_GB2312" w:hAnsi="宋体" w:eastAsia="仿宋_GB2312" w:cs="仿宋_GB2312"/>
                <w:color w:val="000000" w:themeColor="text1"/>
                <w:sz w:val="24"/>
                <w14:textFill>
                  <w14:solidFill>
                    <w14:schemeClr w14:val="tx1"/>
                  </w14:solidFill>
                </w14:textFill>
              </w:rPr>
              <w:t>具有明确的</w:t>
            </w:r>
            <w:r>
              <w:rPr>
                <w:rFonts w:hint="eastAsia" w:ascii="仿宋_GB2312" w:hAnsi="宋体" w:eastAsia="仿宋_GB2312" w:cs="仿宋_GB2312"/>
                <w:color w:val="000000" w:themeColor="text1"/>
                <w:sz w:val="24"/>
                <w14:textFill>
                  <w14:solidFill>
                    <w14:schemeClr w14:val="tx1"/>
                  </w14:solidFill>
                </w14:textFill>
              </w:rPr>
              <w:t>性能测试要点</w:t>
            </w:r>
            <w:r>
              <w:rPr>
                <w:rFonts w:ascii="仿宋_GB2312" w:hAnsi="宋体" w:eastAsia="仿宋_GB2312" w:cs="仿宋_GB2312"/>
                <w:color w:val="000000" w:themeColor="text1"/>
                <w:sz w:val="24"/>
                <w14:textFill>
                  <w14:solidFill>
                    <w14:schemeClr w14:val="tx1"/>
                  </w14:solidFill>
                </w14:textFill>
              </w:rPr>
              <w:t>且</w:t>
            </w:r>
            <w:r>
              <w:rPr>
                <w:rFonts w:hint="eastAsia" w:ascii="仿宋_GB2312" w:hAnsi="宋体" w:eastAsia="仿宋_GB2312" w:cs="仿宋_GB2312"/>
                <w:color w:val="auto"/>
                <w:sz w:val="24"/>
                <w:lang w:val="en-US" w:eastAsia="zh-CN"/>
              </w:rPr>
              <w:t>科学可行</w:t>
            </w:r>
            <w:r>
              <w:rPr>
                <w:rFonts w:ascii="仿宋_GB2312" w:hAnsi="宋体" w:eastAsia="仿宋_GB2312" w:cs="仿宋_GB2312"/>
                <w:color w:val="000000" w:themeColor="text1"/>
                <w:sz w:val="24"/>
                <w14:textFill>
                  <w14:solidFill>
                    <w14:schemeClr w14:val="tx1"/>
                  </w14:solidFill>
                </w14:textFill>
              </w:rPr>
              <w:t>的得1分；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4.</w:t>
            </w:r>
            <w:r>
              <w:rPr>
                <w:rFonts w:ascii="仿宋_GB2312" w:hAnsi="宋体" w:eastAsia="仿宋_GB2312" w:cs="仿宋_GB2312"/>
                <w:color w:val="000000" w:themeColor="text1"/>
                <w:sz w:val="24"/>
                <w14:textFill>
                  <w14:solidFill>
                    <w14:schemeClr w14:val="tx1"/>
                  </w14:solidFill>
                </w14:textFill>
              </w:rPr>
              <w:t>具有明确的</w:t>
            </w:r>
            <w:r>
              <w:rPr>
                <w:rFonts w:hint="eastAsia" w:ascii="仿宋_GB2312" w:hAnsi="宋体" w:eastAsia="仿宋_GB2312" w:cs="仿宋_GB2312"/>
                <w:color w:val="000000" w:themeColor="text1"/>
                <w:sz w:val="24"/>
                <w14:textFill>
                  <w14:solidFill>
                    <w14:schemeClr w14:val="tx1"/>
                  </w14:solidFill>
                </w14:textFill>
              </w:rPr>
              <w:t>测试流程</w:t>
            </w:r>
            <w:r>
              <w:rPr>
                <w:rFonts w:ascii="仿宋_GB2312" w:hAnsi="宋体" w:eastAsia="仿宋_GB2312" w:cs="仿宋_GB2312"/>
                <w:color w:val="000000" w:themeColor="text1"/>
                <w:sz w:val="24"/>
                <w14:textFill>
                  <w14:solidFill>
                    <w14:schemeClr w14:val="tx1"/>
                  </w14:solidFill>
                </w14:textFill>
              </w:rPr>
              <w:t>且内容</w:t>
            </w:r>
            <w:r>
              <w:rPr>
                <w:rFonts w:hint="eastAsia" w:ascii="仿宋_GB2312" w:hAnsi="宋体" w:eastAsia="仿宋_GB2312" w:cs="仿宋_GB2312"/>
                <w:color w:val="000000" w:themeColor="text1"/>
                <w:sz w:val="24"/>
                <w14:textFill>
                  <w14:solidFill>
                    <w14:schemeClr w14:val="tx1"/>
                  </w14:solidFill>
                </w14:textFill>
              </w:rPr>
              <w:t>高效清晰</w:t>
            </w:r>
            <w:r>
              <w:rPr>
                <w:rFonts w:ascii="仿宋_GB2312" w:hAnsi="宋体" w:eastAsia="仿宋_GB2312" w:cs="仿宋_GB2312"/>
                <w:color w:val="000000" w:themeColor="text1"/>
                <w:sz w:val="24"/>
                <w14:textFill>
                  <w14:solidFill>
                    <w14:schemeClr w14:val="tx1"/>
                  </w14:solidFill>
                </w14:textFill>
              </w:rPr>
              <w:t>的得1分；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5.</w:t>
            </w:r>
            <w:r>
              <w:rPr>
                <w:rFonts w:ascii="仿宋_GB2312" w:hAnsi="宋体" w:eastAsia="仿宋_GB2312" w:cs="仿宋_GB2312"/>
                <w:color w:val="000000" w:themeColor="text1"/>
                <w:sz w:val="24"/>
                <w14:textFill>
                  <w14:solidFill>
                    <w14:schemeClr w14:val="tx1"/>
                  </w14:solidFill>
                </w14:textFill>
              </w:rPr>
              <w:t>整体</w:t>
            </w:r>
            <w:r>
              <w:rPr>
                <w:rFonts w:hint="eastAsia" w:ascii="仿宋_GB2312" w:eastAsia="仿宋_GB2312"/>
                <w:color w:val="000000" w:themeColor="text1"/>
                <w:kern w:val="0"/>
                <w:sz w:val="24"/>
                <w14:textFill>
                  <w14:solidFill>
                    <w14:schemeClr w14:val="tx1"/>
                  </w14:solidFill>
                </w14:textFill>
              </w:rPr>
              <w:t>监理软件测试方案</w:t>
            </w:r>
            <w:r>
              <w:rPr>
                <w:rFonts w:ascii="仿宋_GB2312" w:hAnsi="宋体" w:eastAsia="仿宋_GB2312" w:cs="仿宋_GB2312"/>
                <w:color w:val="000000" w:themeColor="text1"/>
                <w:sz w:val="24"/>
                <w14:textFill>
                  <w14:solidFill>
                    <w14:schemeClr w14:val="tx1"/>
                  </w14:solidFill>
                </w14:textFill>
              </w:rPr>
              <w:t>全面详实，完全满足服务需求的得2分；</w:t>
            </w:r>
          </w:p>
          <w:p>
            <w:pPr>
              <w:snapToGrid w:val="0"/>
              <w:spacing w:line="288" w:lineRule="auto"/>
              <w:ind w:firstLine="480" w:firstLineChars="200"/>
              <w:rPr>
                <w:color w:val="000000" w:themeColor="text1"/>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6.</w:t>
            </w:r>
            <w:r>
              <w:rPr>
                <w:rFonts w:ascii="仿宋_GB2312" w:hAnsi="宋体" w:eastAsia="仿宋_GB2312" w:cs="仿宋_GB2312"/>
                <w:color w:val="000000" w:themeColor="text1"/>
                <w:sz w:val="24"/>
                <w14:textFill>
                  <w14:solidFill>
                    <w14:schemeClr w14:val="tx1"/>
                  </w14:solidFill>
                </w14:textFill>
              </w:rPr>
              <w:t>整体方案不全面，与服务需求不相符不得分。</w:t>
            </w:r>
          </w:p>
        </w:tc>
        <w:tc>
          <w:tcPr>
            <w:tcW w:w="4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5" w:type="pct"/>
            <w:vMerge w:val="continue"/>
            <w:tcBorders>
              <w:left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p>
        </w:tc>
        <w:tc>
          <w:tcPr>
            <w:tcW w:w="65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8"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监理工作难点分析及对策</w:t>
            </w:r>
          </w:p>
        </w:tc>
        <w:tc>
          <w:tcPr>
            <w:tcW w:w="3279" w:type="pct"/>
            <w:tcBorders>
              <w:top w:val="single" w:color="auto" w:sz="4" w:space="0"/>
              <w:left w:val="single" w:color="auto" w:sz="4" w:space="0"/>
              <w:bottom w:val="single" w:color="auto" w:sz="4" w:space="0"/>
              <w:right w:val="single" w:color="auto" w:sz="4" w:space="0"/>
            </w:tcBorders>
            <w:vAlign w:val="center"/>
          </w:tcPr>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方案包含但不限于质量控制、进度控制、投资控制、建设风险、项目管理等内容，进行综合评分：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1.具有明确且合理的质量控制难点分析及对策得1分；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2.具有明确且合理的进度控制难点分析及对策得1分；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3.具有明确且合理的投资控制难点分析及对策得1分；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4.具有明确且合理的建设风险分析及对策得1分；</w:t>
            </w:r>
          </w:p>
          <w:p>
            <w:pPr>
              <w:snapToGrid w:val="0"/>
              <w:spacing w:line="288" w:lineRule="auto"/>
              <w:ind w:firstLine="537" w:firstLineChars="224"/>
              <w:jc w:val="left"/>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5.具有明确且合理的项目管理分析及对策得1分；</w:t>
            </w:r>
          </w:p>
          <w:p>
            <w:pPr>
              <w:snapToGrid w:val="0"/>
              <w:spacing w:line="288" w:lineRule="auto"/>
              <w:ind w:firstLine="537" w:firstLineChars="224"/>
              <w:jc w:val="left"/>
              <w:textAlignment w:val="center"/>
              <w:rPr>
                <w:color w:val="000000" w:themeColor="text1"/>
                <w14:textFill>
                  <w14:solidFill>
                    <w14:schemeClr w14:val="tx1"/>
                  </w14:solidFill>
                </w14:textFill>
              </w:rPr>
            </w:pPr>
            <w:r>
              <w:rPr>
                <w:rFonts w:hint="eastAsia" w:ascii="仿宋_GB2312" w:hAnsi="宋体" w:eastAsia="仿宋_GB2312" w:cs="仿宋_GB2312"/>
                <w:color w:val="000000" w:themeColor="text1"/>
                <w:sz w:val="24"/>
                <w14:textFill>
                  <w14:solidFill>
                    <w14:schemeClr w14:val="tx1"/>
                  </w14:solidFill>
                </w14:textFill>
              </w:rPr>
              <w:t>6.</w:t>
            </w:r>
            <w:r>
              <w:rPr>
                <w:rFonts w:ascii="仿宋_GB2312" w:hAnsi="宋体" w:eastAsia="仿宋_GB2312" w:cs="仿宋_GB2312"/>
                <w:color w:val="000000" w:themeColor="text1"/>
                <w:sz w:val="24"/>
                <w14:textFill>
                  <w14:solidFill>
                    <w14:schemeClr w14:val="tx1"/>
                  </w14:solidFill>
                </w14:textFill>
              </w:rPr>
              <w:t>整体方案不全面，与服务需求不相符不得分。</w:t>
            </w:r>
          </w:p>
        </w:tc>
        <w:tc>
          <w:tcPr>
            <w:tcW w:w="4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pct"/>
            <w:vMerge w:val="restart"/>
            <w:tcBorders>
              <w:left w:val="single" w:color="auto" w:sz="4" w:space="0"/>
              <w:right w:val="single" w:color="auto" w:sz="4" w:space="0"/>
            </w:tcBorders>
            <w:vAlign w:val="center"/>
          </w:tcPr>
          <w:p>
            <w:pPr>
              <w:snapToGrid w:val="0"/>
              <w:spacing w:line="288"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商务部分（44分）</w:t>
            </w:r>
          </w:p>
        </w:tc>
        <w:tc>
          <w:tcPr>
            <w:tcW w:w="653"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设施、工具配备</w:t>
            </w:r>
          </w:p>
        </w:tc>
        <w:tc>
          <w:tcPr>
            <w:tcW w:w="3279" w:type="pct"/>
            <w:tcBorders>
              <w:top w:val="single" w:color="auto" w:sz="4" w:space="0"/>
              <w:left w:val="single" w:color="auto" w:sz="4" w:space="0"/>
              <w:bottom w:val="single" w:color="auto" w:sz="4" w:space="0"/>
              <w:right w:val="single" w:color="auto" w:sz="4" w:space="0"/>
            </w:tcBorders>
            <w:vAlign w:val="center"/>
          </w:tcPr>
          <w:p>
            <w:pPr>
              <w:spacing w:line="288" w:lineRule="auto"/>
              <w:ind w:firstLine="480" w:firstLineChars="20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评审内容：设施、工具配备；</w:t>
            </w:r>
          </w:p>
          <w:p>
            <w:pPr>
              <w:spacing w:line="288" w:lineRule="auto"/>
              <w:ind w:left="2" w:leftChars="1" w:firstLine="480" w:firstLineChars="200"/>
              <w:jc w:val="left"/>
              <w:rPr>
                <w:rFonts w:ascii="仿宋_GB2312" w:hAnsi="仿宋_GB2312" w:eastAsia="仿宋_GB2312" w:cs="仿宋_GB2312"/>
                <w:color w:val="000000" w:themeColor="text1"/>
                <w:sz w:val="24"/>
                <w:lang w:bidi="ar"/>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评审标准：</w:t>
            </w:r>
            <w:r>
              <w:rPr>
                <w:rFonts w:hint="eastAsia" w:ascii="仿宋_GB2312" w:hAnsi="仿宋_GB2312" w:eastAsia="仿宋_GB2312" w:cs="仿宋_GB2312"/>
                <w:color w:val="000000" w:themeColor="text1"/>
                <w:sz w:val="24"/>
                <w:lang w:bidi="ar"/>
                <w14:textFill>
                  <w14:solidFill>
                    <w14:schemeClr w14:val="tx1"/>
                  </w14:solidFill>
                </w14:textFill>
              </w:rPr>
              <w:t>测试工具配备充足，为监理项目组配备：代码审计、软件功能、软件性能等的测试设备，每</w:t>
            </w:r>
            <w:r>
              <w:rPr>
                <w:rFonts w:hint="eastAsia" w:ascii="仿宋_GB2312" w:hAnsi="仿宋_GB2312" w:eastAsia="仿宋_GB2312" w:cs="仿宋_GB2312"/>
                <w:color w:val="auto"/>
                <w:sz w:val="24"/>
                <w:lang w:bidi="ar"/>
              </w:rPr>
              <w:t>具</w:t>
            </w:r>
            <w:r>
              <w:rPr>
                <w:rFonts w:hint="eastAsia" w:ascii="仿宋_GB2312" w:hAnsi="仿宋_GB2312" w:eastAsia="仿宋_GB2312" w:cs="仿宋_GB2312"/>
                <w:color w:val="auto"/>
                <w:sz w:val="24"/>
                <w:lang w:val="en-US" w:eastAsia="zh-CN" w:bidi="ar"/>
              </w:rPr>
              <w:t>有</w:t>
            </w:r>
            <w:r>
              <w:rPr>
                <w:rFonts w:hint="eastAsia" w:ascii="仿宋_GB2312" w:hAnsi="仿宋_GB2312" w:eastAsia="仿宋_GB2312" w:cs="仿宋_GB2312"/>
                <w:color w:val="000000" w:themeColor="text1"/>
                <w:sz w:val="24"/>
                <w:lang w:bidi="ar"/>
                <w14:textFill>
                  <w14:solidFill>
                    <w14:schemeClr w14:val="tx1"/>
                  </w14:solidFill>
                </w14:textFill>
              </w:rPr>
              <w:t>一项设备得2分，最多得6分。</w:t>
            </w:r>
          </w:p>
          <w:p>
            <w:pPr>
              <w:spacing w:line="288" w:lineRule="auto"/>
              <w:ind w:left="2" w:leftChars="1" w:firstLine="480" w:firstLineChars="200"/>
              <w:jc w:val="left"/>
              <w:rPr>
                <w:rFonts w:ascii="仿宋_GB2312" w:hAnsi="仿宋_GB2312" w:eastAsia="仿宋_GB2312" w:cs="仿宋_GB2312"/>
                <w:color w:val="000000" w:themeColor="text1"/>
                <w:sz w:val="24"/>
                <w:lang w:bidi="ar"/>
                <w14:textFill>
                  <w14:solidFill>
                    <w14:schemeClr w14:val="tx1"/>
                  </w14:solidFill>
                </w14:textFill>
              </w:rPr>
            </w:pPr>
            <w:r>
              <w:rPr>
                <w:rFonts w:hint="eastAsia" w:ascii="仿宋_GB2312" w:hAnsi="仿宋_GB2312" w:eastAsia="仿宋_GB2312" w:cs="仿宋_GB2312"/>
                <w:b/>
                <w:bCs/>
                <w:color w:val="000000" w:themeColor="text1"/>
                <w:sz w:val="24"/>
                <w:lang w:bidi="ar"/>
                <w14:textFill>
                  <w14:solidFill>
                    <w14:schemeClr w14:val="tx1"/>
                  </w14:solidFill>
                </w14:textFill>
              </w:rPr>
              <w:t>注：须提供设备明细表和购买发票复印件（或租用合同及租用款项发票）证明加盖投标人公章，不提供不得分。</w:t>
            </w:r>
          </w:p>
        </w:tc>
        <w:tc>
          <w:tcPr>
            <w:tcW w:w="402"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65" w:type="pct"/>
            <w:vMerge w:val="continue"/>
            <w:tcBorders>
              <w:left w:val="single" w:color="auto" w:sz="4" w:space="0"/>
              <w:right w:val="single" w:color="auto" w:sz="4" w:space="0"/>
            </w:tcBorders>
            <w:vAlign w:val="center"/>
          </w:tcPr>
          <w:p>
            <w:pPr>
              <w:spacing w:line="288" w:lineRule="auto"/>
              <w:jc w:val="center"/>
              <w:rPr>
                <w:rFonts w:ascii="仿宋_GB2312" w:hAnsi="仿宋_GB2312" w:eastAsia="仿宋_GB2312" w:cs="仿宋_GB2312"/>
                <w:color w:val="000000" w:themeColor="text1"/>
                <w:sz w:val="24"/>
                <w14:textFill>
                  <w14:solidFill>
                    <w14:schemeClr w14:val="tx1"/>
                  </w14:solidFill>
                </w14:textFill>
              </w:rPr>
            </w:pPr>
          </w:p>
        </w:tc>
        <w:tc>
          <w:tcPr>
            <w:tcW w:w="653"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监理服务保障</w:t>
            </w:r>
          </w:p>
        </w:tc>
        <w:tc>
          <w:tcPr>
            <w:tcW w:w="3279" w:type="pct"/>
            <w:tcBorders>
              <w:top w:val="single" w:color="auto" w:sz="4" w:space="0"/>
              <w:left w:val="single" w:color="auto" w:sz="4" w:space="0"/>
              <w:bottom w:val="single" w:color="auto" w:sz="4" w:space="0"/>
              <w:right w:val="single" w:color="auto" w:sz="4" w:space="0"/>
            </w:tcBorders>
            <w:vAlign w:val="center"/>
          </w:tcPr>
          <w:p>
            <w:pPr>
              <w:spacing w:line="288" w:lineRule="auto"/>
              <w:ind w:firstLine="480" w:firstLineChars="20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评审内容：监理服务保障；</w:t>
            </w:r>
          </w:p>
          <w:p>
            <w:pPr>
              <w:widowControl/>
              <w:snapToGrid w:val="0"/>
              <w:spacing w:line="288" w:lineRule="auto"/>
              <w:ind w:firstLine="480" w:firstLineChars="20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评审标准：</w:t>
            </w:r>
          </w:p>
          <w:p>
            <w:pPr>
              <w:widowControl/>
              <w:snapToGrid w:val="0"/>
              <w:spacing w:line="288" w:lineRule="auto"/>
              <w:ind w:firstLine="480" w:firstLineChars="200"/>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投标人具有监理文档管理系统且能提供计算机软件著作权登记证书（监理文档管理相关系统），得2分；</w:t>
            </w:r>
          </w:p>
          <w:p>
            <w:pPr>
              <w:widowControl/>
              <w:snapToGrid w:val="0"/>
              <w:spacing w:line="288" w:lineRule="auto"/>
              <w:ind w:firstLine="480" w:firstLineChars="200"/>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投标人具有监理质量控制系统且能提供计算机软件著作权登记证书（监理质量控制相关系统），得2分。</w:t>
            </w:r>
          </w:p>
          <w:p>
            <w:pPr>
              <w:widowControl/>
              <w:snapToGrid w:val="0"/>
              <w:spacing w:line="288" w:lineRule="auto"/>
              <w:ind w:firstLine="480" w:firstLineChars="200"/>
              <w:rPr>
                <w:rFonts w:ascii="仿宋_GB2312" w:eastAsia="仿宋_GB2312"/>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注：以上须提供国家版权局颁发的软件著作权登记证书复印件加盖投标人公章。</w:t>
            </w:r>
          </w:p>
        </w:tc>
        <w:tc>
          <w:tcPr>
            <w:tcW w:w="402"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65" w:type="pct"/>
            <w:vMerge w:val="continue"/>
            <w:tcBorders>
              <w:left w:val="single" w:color="auto" w:sz="4" w:space="0"/>
              <w:right w:val="single" w:color="auto" w:sz="4" w:space="0"/>
            </w:tcBorders>
            <w:vAlign w:val="center"/>
          </w:tcPr>
          <w:p>
            <w:pPr>
              <w:spacing w:line="288" w:lineRule="auto"/>
              <w:jc w:val="center"/>
              <w:rPr>
                <w:rFonts w:ascii="仿宋_GB2312" w:hAnsi="仿宋_GB2312" w:eastAsia="仿宋_GB2312" w:cs="仿宋_GB2312"/>
                <w:color w:val="000000" w:themeColor="text1"/>
                <w:sz w:val="24"/>
                <w14:textFill>
                  <w14:solidFill>
                    <w14:schemeClr w14:val="tx1"/>
                  </w14:solidFill>
                </w14:textFill>
              </w:rPr>
            </w:pPr>
          </w:p>
        </w:tc>
        <w:tc>
          <w:tcPr>
            <w:tcW w:w="653" w:type="pct"/>
            <w:tcBorders>
              <w:top w:val="single" w:color="auto" w:sz="4" w:space="0"/>
              <w:left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lang w:bidi="ar"/>
                <w14:textFill>
                  <w14:solidFill>
                    <w14:schemeClr w14:val="tx1"/>
                  </w14:solidFill>
                </w14:textFill>
              </w:rPr>
              <w:t>总监理工程师</w:t>
            </w:r>
          </w:p>
        </w:tc>
        <w:tc>
          <w:tcPr>
            <w:tcW w:w="3279" w:type="pct"/>
            <w:tcBorders>
              <w:top w:val="single" w:color="auto" w:sz="4" w:space="0"/>
              <w:left w:val="single" w:color="auto" w:sz="4" w:space="0"/>
              <w:bottom w:val="single" w:color="auto" w:sz="4" w:space="0"/>
              <w:right w:val="single" w:color="auto" w:sz="4" w:space="0"/>
            </w:tcBorders>
            <w:vAlign w:val="center"/>
          </w:tcPr>
          <w:p>
            <w:pPr>
              <w:spacing w:line="288" w:lineRule="auto"/>
              <w:ind w:firstLine="480" w:firstLineChars="20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评审内容：</w:t>
            </w:r>
            <w:r>
              <w:rPr>
                <w:rFonts w:hint="eastAsia" w:ascii="仿宋_GB2312" w:hAnsi="仿宋_GB2312" w:eastAsia="仿宋_GB2312" w:cs="仿宋_GB2312"/>
                <w:color w:val="000000" w:themeColor="text1"/>
                <w:kern w:val="0"/>
                <w:sz w:val="24"/>
                <w:lang w:bidi="ar"/>
                <w14:textFill>
                  <w14:solidFill>
                    <w14:schemeClr w14:val="tx1"/>
                  </w14:solidFill>
                </w14:textFill>
              </w:rPr>
              <w:t>总监理工程师；</w:t>
            </w:r>
          </w:p>
          <w:p>
            <w:pPr>
              <w:widowControl/>
              <w:snapToGrid w:val="0"/>
              <w:spacing w:line="288" w:lineRule="auto"/>
              <w:ind w:firstLine="480" w:firstLineChars="200"/>
              <w:jc w:val="lef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评审标准：</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拟派总监理工程师：具备信息系统项目管理师资格证书，得3分；具备注册信息安全专业人员（CISP）</w:t>
            </w:r>
            <w:r>
              <w:rPr>
                <w:rFonts w:hint="eastAsia" w:ascii="仿宋_GB2312" w:hAnsi="仿宋_GB2312" w:eastAsia="仿宋_GB2312" w:cs="仿宋_GB2312"/>
                <w:color w:val="auto"/>
                <w:kern w:val="0"/>
                <w:sz w:val="24"/>
                <w:lang w:val="en-US" w:eastAsia="zh-CN" w:bidi="ar"/>
              </w:rPr>
              <w:t>证书</w:t>
            </w:r>
            <w:r>
              <w:rPr>
                <w:rFonts w:hint="eastAsia" w:ascii="仿宋_GB2312" w:hAnsi="仿宋_GB2312" w:eastAsia="仿宋_GB2312" w:cs="仿宋_GB2312"/>
                <w:color w:val="auto"/>
                <w:kern w:val="0"/>
                <w:sz w:val="24"/>
                <w:lang w:bidi="ar"/>
              </w:rPr>
              <w:t>，</w:t>
            </w:r>
            <w:r>
              <w:rPr>
                <w:rFonts w:hint="eastAsia" w:ascii="仿宋_GB2312" w:hAnsi="仿宋_GB2312" w:eastAsia="仿宋_GB2312" w:cs="仿宋_GB2312"/>
                <w:color w:val="000000" w:themeColor="text1"/>
                <w:kern w:val="0"/>
                <w:sz w:val="24"/>
                <w:lang w:bidi="ar"/>
                <w14:textFill>
                  <w14:solidFill>
                    <w14:schemeClr w14:val="tx1"/>
                  </w14:solidFill>
                </w14:textFill>
              </w:rPr>
              <w:t>得3分。</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注：以上人员须提供身份证复印件、相关证书复印件、开标前6个月内任意一月投标人为拟派人员缴纳社保的证明材料复印件加盖投标人公章。</w:t>
            </w:r>
          </w:p>
        </w:tc>
        <w:tc>
          <w:tcPr>
            <w:tcW w:w="402"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65" w:type="pct"/>
            <w:vMerge w:val="continue"/>
            <w:tcBorders>
              <w:left w:val="single" w:color="auto" w:sz="4" w:space="0"/>
              <w:right w:val="single" w:color="auto" w:sz="4" w:space="0"/>
            </w:tcBorders>
            <w:vAlign w:val="center"/>
          </w:tcPr>
          <w:p>
            <w:pPr>
              <w:spacing w:line="288" w:lineRule="auto"/>
              <w:jc w:val="center"/>
              <w:rPr>
                <w:rFonts w:ascii="仿宋_GB2312" w:hAnsi="仿宋_GB2312" w:eastAsia="仿宋_GB2312" w:cs="仿宋_GB2312"/>
                <w:color w:val="000000" w:themeColor="text1"/>
                <w:sz w:val="24"/>
                <w14:textFill>
                  <w14:solidFill>
                    <w14:schemeClr w14:val="tx1"/>
                  </w14:solidFill>
                </w14:textFill>
              </w:rPr>
            </w:pPr>
          </w:p>
        </w:tc>
        <w:tc>
          <w:tcPr>
            <w:tcW w:w="653" w:type="pct"/>
            <w:tcBorders>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lang w:bidi="ar"/>
                <w14:textFill>
                  <w14:solidFill>
                    <w14:schemeClr w14:val="tx1"/>
                  </w14:solidFill>
                </w14:textFill>
              </w:rPr>
              <w:t>项目组人员</w:t>
            </w:r>
          </w:p>
        </w:tc>
        <w:tc>
          <w:tcPr>
            <w:tcW w:w="3279" w:type="pct"/>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ind w:firstLine="480" w:firstLineChars="200"/>
              <w:jc w:val="lef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评审内容：</w:t>
            </w:r>
            <w:r>
              <w:rPr>
                <w:rFonts w:hint="eastAsia" w:ascii="仿宋_GB2312" w:hAnsi="仿宋_GB2312" w:eastAsia="仿宋_GB2312" w:cs="仿宋_GB2312"/>
                <w:color w:val="000000" w:themeColor="text1"/>
                <w:kern w:val="0"/>
                <w:sz w:val="24"/>
                <w:lang w:bidi="ar"/>
                <w14:textFill>
                  <w14:solidFill>
                    <w14:schemeClr w14:val="tx1"/>
                  </w14:solidFill>
                </w14:textFill>
              </w:rPr>
              <w:t>项目组人员；</w:t>
            </w:r>
          </w:p>
          <w:p>
            <w:pPr>
              <w:widowControl/>
              <w:snapToGrid w:val="0"/>
              <w:spacing w:line="288" w:lineRule="auto"/>
              <w:ind w:firstLine="480" w:firstLineChars="200"/>
              <w:jc w:val="lef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评审标准：</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拟派本项目组人员（不含总监理工程师）具有：</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1.软件工程造价师证书；</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2.国家密码管理局商用密码应用安全性评估人员测评能力考核小组出具的测评能力考核合格证书；</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3.信息安全保障人员证书（CISAW）；</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4.信息系统审计师（ISA）证书；</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5.软件评测师证书。</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每有1类证书，得2分，最多得10分。</w:t>
            </w:r>
          </w:p>
          <w:p>
            <w:pPr>
              <w:widowControl/>
              <w:snapToGrid w:val="0"/>
              <w:spacing w:line="288" w:lineRule="auto"/>
              <w:ind w:firstLine="480" w:firstLineChars="200"/>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注：（1）以上人员须提供身份证复印件、相关证书复印件、开标前6个月内任意一月投标人为拟派人员缴纳社保的证明材料复印件加盖投标人公章，同一人具有多个证书可重复得分。</w:t>
            </w:r>
          </w:p>
          <w:p>
            <w:pPr>
              <w:widowControl/>
              <w:snapToGrid w:val="0"/>
              <w:spacing w:line="288" w:lineRule="auto"/>
              <w:ind w:firstLine="480" w:firstLineChars="200"/>
              <w:jc w:val="left"/>
              <w:rPr>
                <w:rFonts w:ascii="方正仿宋_GBK" w:hAnsi="方正仿宋_GBK" w:eastAsia="方正仿宋_GBK" w:cs="方正仿宋_GBK"/>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sz w:val="24"/>
                <w:lang w:bidi="ar"/>
                <w14:textFill>
                  <w14:solidFill>
                    <w14:schemeClr w14:val="tx1"/>
                  </w14:solidFill>
                </w14:textFill>
              </w:rPr>
              <w:t>（2）项目组成员中同一人员具备多个证书的，仅计算一次。</w:t>
            </w:r>
          </w:p>
        </w:tc>
        <w:tc>
          <w:tcPr>
            <w:tcW w:w="402"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4" w:hRule="atLeast"/>
        </w:trPr>
        <w:tc>
          <w:tcPr>
            <w:tcW w:w="665" w:type="pct"/>
            <w:vMerge w:val="continue"/>
            <w:tcBorders>
              <w:left w:val="single" w:color="auto" w:sz="4" w:space="0"/>
              <w:right w:val="single" w:color="auto" w:sz="4" w:space="0"/>
            </w:tcBorders>
            <w:vAlign w:val="center"/>
          </w:tcPr>
          <w:p>
            <w:pPr>
              <w:spacing w:line="288" w:lineRule="auto"/>
              <w:jc w:val="center"/>
              <w:rPr>
                <w:rFonts w:ascii="仿宋_GB2312" w:hAnsi="仿宋_GB2312" w:eastAsia="仿宋_GB2312" w:cs="仿宋_GB2312"/>
                <w:color w:val="000000" w:themeColor="text1"/>
                <w:sz w:val="24"/>
                <w14:textFill>
                  <w14:solidFill>
                    <w14:schemeClr w14:val="tx1"/>
                  </w14:solidFill>
                </w14:textFill>
              </w:rPr>
            </w:pPr>
          </w:p>
        </w:tc>
        <w:tc>
          <w:tcPr>
            <w:tcW w:w="653"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企业状况</w:t>
            </w:r>
          </w:p>
        </w:tc>
        <w:tc>
          <w:tcPr>
            <w:tcW w:w="3279" w:type="pct"/>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ind w:firstLine="480" w:firstLineChars="200"/>
              <w:jc w:val="lef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评审内容：企业状况；</w:t>
            </w:r>
          </w:p>
          <w:p>
            <w:pPr>
              <w:widowControl/>
              <w:snapToGrid w:val="0"/>
              <w:spacing w:line="288" w:lineRule="auto"/>
              <w:ind w:firstLine="480" w:firstLineChars="200"/>
              <w:jc w:val="lef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评审标准：</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1.投标人具有有效期内信息技术服务管理体系认证证书，得2分；</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w:t>
            </w:r>
            <w:r>
              <w:rPr>
                <w:rFonts w:ascii="仿宋_GB2312" w:hAnsi="仿宋_GB2312" w:eastAsia="仿宋_GB2312" w:cs="仿宋_GB2312"/>
                <w:color w:val="000000" w:themeColor="text1"/>
                <w:kern w:val="0"/>
                <w:sz w:val="24"/>
                <w:lang w:bidi="ar"/>
                <w14:textFill>
                  <w14:solidFill>
                    <w14:schemeClr w14:val="tx1"/>
                  </w14:solidFill>
                </w14:textFill>
              </w:rPr>
              <w:t>投标人具有</w:t>
            </w:r>
            <w:r>
              <w:rPr>
                <w:rFonts w:hint="eastAsia" w:ascii="仿宋_GB2312" w:hAnsi="仿宋_GB2312" w:eastAsia="仿宋_GB2312" w:cs="仿宋_GB2312"/>
                <w:color w:val="000000" w:themeColor="text1"/>
                <w:kern w:val="0"/>
                <w:sz w:val="24"/>
                <w:lang w:bidi="ar"/>
                <w14:textFill>
                  <w14:solidFill>
                    <w14:schemeClr w14:val="tx1"/>
                  </w14:solidFill>
                </w14:textFill>
              </w:rPr>
              <w:t>有效期内</w:t>
            </w:r>
            <w:r>
              <w:rPr>
                <w:rFonts w:ascii="仿宋_GB2312" w:hAnsi="仿宋_GB2312" w:eastAsia="仿宋_GB2312" w:cs="仿宋_GB2312"/>
                <w:color w:val="000000" w:themeColor="text1"/>
                <w:kern w:val="0"/>
                <w:sz w:val="24"/>
                <w:lang w:bidi="ar"/>
                <w14:textFill>
                  <w14:solidFill>
                    <w14:schemeClr w14:val="tx1"/>
                  </w14:solidFill>
                </w14:textFill>
              </w:rPr>
              <w:t>信息安全管理体系认证证书，得2分</w:t>
            </w:r>
            <w:r>
              <w:rPr>
                <w:rFonts w:hint="eastAsia" w:ascii="仿宋_GB2312" w:hAnsi="仿宋_GB2312" w:eastAsia="仿宋_GB2312" w:cs="仿宋_GB2312"/>
                <w:color w:val="000000" w:themeColor="text1"/>
                <w:kern w:val="0"/>
                <w:sz w:val="24"/>
                <w:lang w:bidi="ar"/>
                <w14:textFill>
                  <w14:solidFill>
                    <w14:schemeClr w14:val="tx1"/>
                  </w14:solidFill>
                </w14:textFill>
              </w:rPr>
              <w:t>；</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3.投标人具有有效期内质量管理体系认证证书，得2分；</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4.投标人具有有效期内职业健康安全管理体系认证证书，得2分</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5.投标人在《商用密码应用安全性评估试点机构目录》内，得2分。</w:t>
            </w:r>
          </w:p>
          <w:p>
            <w:pPr>
              <w:widowControl/>
              <w:snapToGrid w:val="0"/>
              <w:spacing w:line="288" w:lineRule="auto"/>
              <w:ind w:firstLine="480" w:firstLineChars="200"/>
              <w:jc w:val="left"/>
              <w:rPr>
                <w:rFonts w:ascii="方正仿宋_GBK" w:hAnsi="方正仿宋_GBK" w:eastAsia="方正仿宋_GBK" w:cs="方正仿宋_GBK"/>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注：以上须提供相关证书复印件、《商用密码应用安全性评估试点机构目录》截图证明材料加盖投标人公章。</w:t>
            </w:r>
          </w:p>
        </w:tc>
        <w:tc>
          <w:tcPr>
            <w:tcW w:w="402"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665" w:type="pct"/>
            <w:vMerge w:val="continue"/>
            <w:tcBorders>
              <w:left w:val="single" w:color="auto" w:sz="4" w:space="0"/>
              <w:right w:val="single" w:color="auto" w:sz="4" w:space="0"/>
            </w:tcBorders>
            <w:vAlign w:val="center"/>
          </w:tcPr>
          <w:p>
            <w:pPr>
              <w:spacing w:line="288" w:lineRule="auto"/>
              <w:jc w:val="center"/>
              <w:rPr>
                <w:rFonts w:ascii="仿宋_GB2312" w:hAnsi="仿宋_GB2312" w:eastAsia="仿宋_GB2312" w:cs="仿宋_GB2312"/>
                <w:color w:val="000000" w:themeColor="text1"/>
                <w:sz w:val="24"/>
                <w14:textFill>
                  <w14:solidFill>
                    <w14:schemeClr w14:val="tx1"/>
                  </w14:solidFill>
                </w14:textFill>
              </w:rPr>
            </w:pPr>
          </w:p>
        </w:tc>
        <w:tc>
          <w:tcPr>
            <w:tcW w:w="653"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业绩</w:t>
            </w:r>
          </w:p>
        </w:tc>
        <w:tc>
          <w:tcPr>
            <w:tcW w:w="3279" w:type="pct"/>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ind w:firstLine="480" w:firstLineChars="200"/>
              <w:jc w:val="lef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评审内容：业绩；</w:t>
            </w:r>
          </w:p>
          <w:p>
            <w:pPr>
              <w:widowControl/>
              <w:snapToGrid w:val="0"/>
              <w:spacing w:line="288" w:lineRule="auto"/>
              <w:ind w:firstLine="480" w:firstLineChars="20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评审标准：</w:t>
            </w:r>
            <w:r>
              <w:rPr>
                <w:rFonts w:hint="eastAsia" w:ascii="仿宋_GB2312" w:hAnsi="仿宋" w:eastAsia="仿宋_GB2312" w:cs="仿宋_GB2312"/>
                <w:color w:val="000000" w:themeColor="text1"/>
                <w:sz w:val="24"/>
                <w:lang w:bidi="ar"/>
                <w14:textFill>
                  <w14:solidFill>
                    <w14:schemeClr w14:val="tx1"/>
                  </w14:solidFill>
                </w14:textFill>
              </w:rPr>
              <w:t>投标人提供</w:t>
            </w:r>
            <w:r>
              <w:rPr>
                <w:rFonts w:hint="eastAsia" w:ascii="仿宋_GB2312" w:hAnsi="仿宋_GB2312" w:eastAsia="仿宋_GB2312" w:cs="仿宋_GB2312"/>
                <w:color w:val="000000" w:themeColor="text1"/>
                <w:kern w:val="0"/>
                <w:sz w:val="24"/>
                <w:lang w:bidi="ar"/>
                <w14:textFill>
                  <w14:solidFill>
                    <w14:schemeClr w14:val="tx1"/>
                  </w14:solidFill>
                </w14:textFill>
              </w:rPr>
              <w:t>2018</w:t>
            </w:r>
            <w:r>
              <w:rPr>
                <w:rFonts w:hint="eastAsia" w:ascii="仿宋_GB2312" w:hAnsi="仿宋" w:eastAsia="仿宋_GB2312" w:cs="仿宋_GB2312"/>
                <w:color w:val="000000" w:themeColor="text1"/>
                <w:sz w:val="24"/>
                <w:lang w:bidi="ar"/>
                <w14:textFill>
                  <w14:solidFill>
                    <w14:schemeClr w14:val="tx1"/>
                  </w14:solidFill>
                </w14:textFill>
              </w:rPr>
              <w:t>年1月1日至今</w:t>
            </w:r>
            <w:r>
              <w:rPr>
                <w:rFonts w:hint="eastAsia" w:ascii="仿宋_GB2312" w:hAnsi="仿宋_GB2312" w:eastAsia="仿宋_GB2312" w:cs="仿宋_GB2312"/>
                <w:color w:val="000000" w:themeColor="text1"/>
                <w:kern w:val="0"/>
                <w:sz w:val="24"/>
                <w:lang w:bidi="ar"/>
                <w14:textFill>
                  <w14:solidFill>
                    <w14:schemeClr w14:val="tx1"/>
                  </w14:solidFill>
                </w14:textFill>
              </w:rPr>
              <w:t>类似信息化监理</w:t>
            </w:r>
            <w:r>
              <w:rPr>
                <w:rFonts w:hint="eastAsia" w:ascii="仿宋_GB2312" w:hAnsi="仿宋" w:eastAsia="仿宋_GB2312" w:cs="仿宋_GB2312"/>
                <w:color w:val="000000" w:themeColor="text1"/>
                <w:sz w:val="24"/>
                <w:lang w:bidi="ar"/>
                <w14:textFill>
                  <w14:solidFill>
                    <w14:schemeClr w14:val="tx1"/>
                  </w14:solidFill>
                </w14:textFill>
              </w:rPr>
              <w:t>项目业绩，每提供一份业绩得1分，满分为8分。</w:t>
            </w:r>
          </w:p>
          <w:p>
            <w:pPr>
              <w:widowControl/>
              <w:snapToGrid w:val="0"/>
              <w:spacing w:line="288" w:lineRule="auto"/>
              <w:ind w:firstLine="480" w:firstLineChars="200"/>
              <w:jc w:val="left"/>
              <w:rPr>
                <w:rFonts w:ascii="方正仿宋_GBK" w:hAnsi="方正仿宋_GBK" w:eastAsia="仿宋_GB2312" w:cs="方正仿宋_GBK"/>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注：以上须提供合同复印件、中标通知书复印件加盖投标人公章，</w:t>
            </w:r>
            <w:r>
              <w:rPr>
                <w:rFonts w:hint="eastAsia" w:ascii="仿宋_GB2312" w:eastAsia="仿宋_GB2312"/>
                <w:b/>
                <w:bCs/>
                <w:color w:val="000000" w:themeColor="text1"/>
                <w:sz w:val="24"/>
                <w14:textFill>
                  <w14:solidFill>
                    <w14:schemeClr w14:val="tx1"/>
                  </w14:solidFill>
                </w14:textFill>
              </w:rPr>
              <w:t>业绩时间以合同签订时间为准。</w:t>
            </w:r>
          </w:p>
        </w:tc>
        <w:tc>
          <w:tcPr>
            <w:tcW w:w="402"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65"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合  计</w:t>
            </w:r>
          </w:p>
        </w:tc>
        <w:tc>
          <w:tcPr>
            <w:tcW w:w="653"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w:t>
            </w:r>
          </w:p>
        </w:tc>
        <w:tc>
          <w:tcPr>
            <w:tcW w:w="3279"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w:t>
            </w:r>
          </w:p>
        </w:tc>
        <w:tc>
          <w:tcPr>
            <w:tcW w:w="402" w:type="pct"/>
            <w:tcBorders>
              <w:top w:val="single" w:color="auto" w:sz="4" w:space="0"/>
              <w:left w:val="single" w:color="auto" w:sz="4" w:space="0"/>
              <w:bottom w:val="single" w:color="auto" w:sz="4" w:space="0"/>
              <w:right w:val="single" w:color="auto" w:sz="4" w:space="0"/>
            </w:tcBorders>
            <w:vAlign w:val="center"/>
          </w:tcPr>
          <w:p>
            <w:pPr>
              <w:pStyle w:val="16"/>
              <w:snapToGrid w:val="0"/>
              <w:spacing w:before="0" w:beforeAutospacing="0" w:after="0" w:afterAutospacing="0" w:line="288" w:lineRule="auto"/>
              <w:jc w:val="center"/>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100</w:t>
            </w:r>
          </w:p>
        </w:tc>
      </w:tr>
    </w:tbl>
    <w:p>
      <w:pPr>
        <w:spacing w:before="478" w:beforeLines="150"/>
        <w:rPr>
          <w:rFonts w:ascii="仿宋_GB2312" w:hAnsi="仿宋" w:eastAsia="仿宋_GB2312" w:cs="仿宋_GB2312"/>
          <w:b/>
          <w:color w:val="000000" w:themeColor="text1"/>
          <w:sz w:val="24"/>
          <w14:textFill>
            <w14:solidFill>
              <w14:schemeClr w14:val="tx1"/>
            </w14:solidFill>
          </w14:textFill>
        </w:rPr>
      </w:pPr>
      <w:r>
        <w:rPr>
          <w:rFonts w:hint="eastAsia" w:ascii="仿宋_GB2312" w:hAnsi="仿宋" w:eastAsia="仿宋_GB2312" w:cs="仿宋_GB2312"/>
          <w:b/>
          <w:color w:val="000000" w:themeColor="text1"/>
          <w:sz w:val="24"/>
          <w14:textFill>
            <w14:solidFill>
              <w14:schemeClr w14:val="tx1"/>
            </w14:solidFill>
          </w14:textFill>
        </w:rPr>
        <w:t>（五）加分项评分标准（本项目不适用）</w:t>
      </w:r>
    </w:p>
    <w:tbl>
      <w:tblPr>
        <w:tblStyle w:val="20"/>
        <w:tblW w:w="9555" w:type="dxa"/>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加分</w:t>
            </w:r>
          </w:p>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因素</w:t>
            </w:r>
          </w:p>
        </w:tc>
        <w:tc>
          <w:tcPr>
            <w:tcW w:w="85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加分说明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节能</w:t>
            </w:r>
          </w:p>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产品</w:t>
            </w:r>
          </w:p>
        </w:tc>
        <w:tc>
          <w:tcPr>
            <w:tcW w:w="8505"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对于清单中的投标产品价格给予价格部分总分值</w:t>
            </w:r>
            <w:r>
              <w:rPr>
                <w:rFonts w:hint="eastAsia" w:ascii="仿宋_GB2312" w:hAnsi="仿宋" w:eastAsia="仿宋_GB2312" w:cs="仿宋_GB2312"/>
                <w:color w:val="000000" w:themeColor="text1"/>
                <w:kern w:val="0"/>
                <w:sz w:val="24"/>
                <w:u w:val="single"/>
                <w14:textFill>
                  <w14:solidFill>
                    <w14:schemeClr w14:val="tx1"/>
                  </w14:solidFill>
                </w14:textFill>
              </w:rPr>
              <w:t xml:space="preserve"> </w:t>
            </w:r>
            <w:r>
              <w:rPr>
                <w:rFonts w:ascii="仿宋_GB2312" w:hAnsi="仿宋" w:eastAsia="仿宋_GB2312" w:cs="仿宋_GB2312"/>
                <w:color w:val="000000" w:themeColor="text1"/>
                <w:kern w:val="0"/>
                <w:sz w:val="24"/>
                <w:u w:val="single"/>
                <w14:textFill>
                  <w14:solidFill>
                    <w14:schemeClr w14:val="tx1"/>
                  </w14:solidFill>
                </w14:textFill>
              </w:rPr>
              <w:t>/</w:t>
            </w:r>
            <w:r>
              <w:rPr>
                <w:rFonts w:hint="eastAsia" w:ascii="仿宋_GB2312" w:hAnsi="仿宋" w:eastAsia="仿宋_GB2312" w:cs="仿宋_GB2312"/>
                <w:color w:val="000000" w:themeColor="text1"/>
                <w:kern w:val="0"/>
                <w:sz w:val="24"/>
                <w:u w:val="single"/>
                <w14:textFill>
                  <w14:solidFill>
                    <w14:schemeClr w14:val="tx1"/>
                  </w14:solidFill>
                </w14:textFill>
              </w:rPr>
              <w:t xml:space="preserve"> </w:t>
            </w:r>
            <w:r>
              <w:rPr>
                <w:rFonts w:hint="eastAsia" w:ascii="仿宋_GB2312" w:hAnsi="仿宋" w:eastAsia="仿宋_GB2312" w:cs="仿宋_GB2312"/>
                <w:color w:val="000000" w:themeColor="text1"/>
                <w:kern w:val="0"/>
                <w:sz w:val="24"/>
                <w14:textFill>
                  <w14:solidFill>
                    <w14:schemeClr w14:val="tx1"/>
                  </w14:solidFill>
                </w14:textFill>
              </w:rPr>
              <w:t>%</w:t>
            </w:r>
            <w:r>
              <w:rPr>
                <w:rFonts w:hint="eastAsia" w:ascii="仿宋_GB2312" w:hAnsi="仿宋" w:eastAsia="仿宋_GB2312" w:cs="仿宋_GB2312"/>
                <w:color w:val="000000" w:themeColor="text1"/>
                <w:sz w:val="24"/>
                <w14:textFill>
                  <w14:solidFill>
                    <w14:schemeClr w14:val="tx1"/>
                  </w14:solidFill>
                </w14:textFill>
              </w:rPr>
              <w:t>的加分，计算公式如下：</w:t>
            </w:r>
          </w:p>
          <w:p>
            <w:pP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节能产品加分＝（节能产品投标报价之和/投标总价）×价格部分总分值</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ascii="仿宋_GB2312" w:hAnsi="仿宋" w:eastAsia="仿宋_GB2312" w:cs="仿宋_GB2312"/>
                <w:color w:val="000000" w:themeColor="text1"/>
                <w:kern w:val="0"/>
                <w:sz w:val="24"/>
                <w:u w:val="single"/>
                <w14:textFill>
                  <w14:solidFill>
                    <w14:schemeClr w14:val="tx1"/>
                  </w14:solidFill>
                </w14:textFill>
              </w:rPr>
              <w:t>/</w:t>
            </w: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ascii="仿宋_GB2312" w:hAnsi="仿宋" w:eastAsia="仿宋_GB2312" w:cs="仿宋_GB2312"/>
                <w:color w:val="000000" w:themeColor="text1"/>
                <w:kern w:val="0"/>
                <w:sz w:val="24"/>
                <w:u w:val="single"/>
                <w14:textFill>
                  <w14:solidFill>
                    <w14:schemeClr w14:val="tx1"/>
                  </w14:solidFill>
                </w14:textFill>
              </w:rPr>
              <w:t>/</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环保</w:t>
            </w:r>
          </w:p>
          <w:p>
            <w:pPr>
              <w:jc w:val="cente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产品</w:t>
            </w:r>
          </w:p>
        </w:tc>
        <w:tc>
          <w:tcPr>
            <w:tcW w:w="8505"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对于清单中的投标产品价格给予价格部分总分值</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ascii="仿宋_GB2312" w:hAnsi="仿宋" w:eastAsia="仿宋_GB2312" w:cs="仿宋_GB2312"/>
                <w:color w:val="000000" w:themeColor="text1"/>
                <w:kern w:val="0"/>
                <w:sz w:val="24"/>
                <w:u w:val="single"/>
                <w14:textFill>
                  <w14:solidFill>
                    <w14:schemeClr w14:val="tx1"/>
                  </w14:solidFill>
                </w14:textFill>
              </w:rPr>
              <w:t>/</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%的加分，计算公式如下：</w:t>
            </w:r>
          </w:p>
          <w:p>
            <w:pPr>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环保产品加分＝（环保产品投标报价之和/投标总价）×价格部分总分值</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ascii="仿宋_GB2312" w:hAnsi="仿宋" w:eastAsia="仿宋_GB2312" w:cs="仿宋_GB2312"/>
                <w:color w:val="000000" w:themeColor="text1"/>
                <w:kern w:val="0"/>
                <w:sz w:val="24"/>
                <w:u w:val="single"/>
                <w14:textFill>
                  <w14:solidFill>
                    <w14:schemeClr w14:val="tx1"/>
                  </w14:solidFill>
                </w14:textFill>
              </w:rPr>
              <w:t>/</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ascii="仿宋_GB2312" w:hAnsi="仿宋" w:eastAsia="仿宋_GB2312" w:cs="仿宋_GB2312"/>
                <w:color w:val="000000" w:themeColor="text1"/>
                <w:kern w:val="0"/>
                <w:sz w:val="24"/>
                <w:u w:val="single"/>
                <w14:textFill>
                  <w14:solidFill>
                    <w14:schemeClr w14:val="tx1"/>
                  </w14:solidFill>
                </w14:textFill>
              </w:rPr>
              <w:t>/</w:t>
            </w:r>
            <w:r>
              <w:rPr>
                <w:rFonts w:hint="eastAsia"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w:t>
            </w:r>
          </w:p>
        </w:tc>
      </w:tr>
    </w:tbl>
    <w:p>
      <w:pPr>
        <w:adjustRightInd w:val="0"/>
        <w:snapToGrid w:val="0"/>
        <w:spacing w:line="360" w:lineRule="auto"/>
        <w:jc w:val="left"/>
        <w:rPr>
          <w:rFonts w:ascii="仿宋_GB2312" w:hAnsi="仿宋" w:eastAsia="仿宋_GB2312" w:cs="仿宋_GB2312"/>
          <w:color w:val="000000" w:themeColor="text1"/>
          <w:szCs w:val="21"/>
          <w14:textFill>
            <w14:solidFill>
              <w14:schemeClr w14:val="tx1"/>
            </w14:solidFill>
          </w14:textFill>
        </w:rPr>
      </w:pPr>
      <w:r>
        <w:rPr>
          <w:rFonts w:hint="eastAsia" w:ascii="仿宋_GB2312" w:hAnsi="仿宋" w:eastAsia="仿宋_GB2312" w:cs="仿宋_GB2312"/>
          <w:color w:val="000000" w:themeColor="text1"/>
          <w:szCs w:val="21"/>
          <w14:textFill>
            <w14:solidFill>
              <w14:schemeClr w14:val="tx1"/>
            </w14:solidFill>
          </w14:textFill>
        </w:rPr>
        <w:br w:type="page"/>
      </w:r>
    </w:p>
    <w:p>
      <w:pPr>
        <w:rPr>
          <w:rFonts w:ascii="仿宋_GB2312" w:hAnsi="仿宋" w:eastAsia="仿宋_GB2312" w:cs="仿宋_GB2312"/>
          <w:color w:val="000000" w:themeColor="text1"/>
          <w14:textFill>
            <w14:solidFill>
              <w14:schemeClr w14:val="tx1"/>
            </w14:solidFill>
          </w14:textFill>
        </w:rPr>
      </w:pPr>
      <w:bookmarkStart w:id="133" w:name="_Toc25922_WPSOffice_Level1"/>
    </w:p>
    <w:p>
      <w:pPr>
        <w:rPr>
          <w:rFonts w:ascii="仿宋_GB2312" w:hAnsi="仿宋" w:eastAsia="仿宋_GB2312" w:cs="仿宋_GB2312"/>
          <w:color w:val="000000" w:themeColor="text1"/>
          <w14:textFill>
            <w14:solidFill>
              <w14:schemeClr w14:val="tx1"/>
            </w14:solidFill>
          </w14:textFill>
        </w:rPr>
      </w:pPr>
    </w:p>
    <w:p>
      <w:pPr>
        <w:pStyle w:val="19"/>
        <w:ind w:firstLine="600"/>
        <w:rPr>
          <w:rFonts w:ascii="仿宋_GB2312" w:hAnsi="仿宋" w:eastAsia="仿宋_GB2312" w:cs="仿宋_GB2312"/>
          <w:color w:val="000000" w:themeColor="text1"/>
          <w14:textFill>
            <w14:solidFill>
              <w14:schemeClr w14:val="tx1"/>
            </w14:solidFill>
          </w14:textFill>
        </w:rPr>
      </w:pPr>
    </w:p>
    <w:p>
      <w:pPr>
        <w:pStyle w:val="19"/>
        <w:ind w:firstLine="600"/>
        <w:rPr>
          <w:rFonts w:ascii="仿宋_GB2312" w:hAnsi="仿宋" w:eastAsia="仿宋_GB2312" w:cs="仿宋_GB2312"/>
          <w:color w:val="000000" w:themeColor="text1"/>
          <w14:textFill>
            <w14:solidFill>
              <w14:schemeClr w14:val="tx1"/>
            </w14:solidFill>
          </w14:textFill>
        </w:rPr>
      </w:pPr>
    </w:p>
    <w:p>
      <w:pPr>
        <w:pStyle w:val="19"/>
        <w:ind w:firstLine="600"/>
        <w:rPr>
          <w:rFonts w:ascii="仿宋_GB2312" w:hAnsi="仿宋" w:eastAsia="仿宋_GB2312" w:cs="仿宋_GB2312"/>
          <w:color w:val="000000" w:themeColor="text1"/>
          <w14:textFill>
            <w14:solidFill>
              <w14:schemeClr w14:val="tx1"/>
            </w14:solidFill>
          </w14:textFill>
        </w:rPr>
      </w:pPr>
    </w:p>
    <w:p>
      <w:pPr>
        <w:pStyle w:val="19"/>
        <w:ind w:firstLine="600"/>
        <w:rPr>
          <w:rFonts w:ascii="仿宋_GB2312" w:hAnsi="仿宋" w:eastAsia="仿宋_GB2312" w:cs="仿宋_GB2312"/>
          <w:color w:val="000000" w:themeColor="text1"/>
          <w14:textFill>
            <w14:solidFill>
              <w14:schemeClr w14:val="tx1"/>
            </w14:solidFill>
          </w14:textFill>
        </w:rPr>
      </w:pPr>
    </w:p>
    <w:p>
      <w:pPr>
        <w:pStyle w:val="19"/>
        <w:ind w:firstLine="600"/>
        <w:rPr>
          <w:rFonts w:ascii="仿宋_GB2312" w:hAnsi="仿宋" w:eastAsia="仿宋_GB2312" w:cs="仿宋_GB2312"/>
          <w:color w:val="000000" w:themeColor="text1"/>
          <w14:textFill>
            <w14:solidFill>
              <w14:schemeClr w14:val="tx1"/>
            </w14:solidFill>
          </w14:textFill>
        </w:rPr>
      </w:pPr>
    </w:p>
    <w:p>
      <w:pPr>
        <w:pStyle w:val="2"/>
        <w:snapToGrid w:val="0"/>
        <w:spacing w:before="159" w:beforeLines="50" w:after="159" w:afterLines="50" w:line="360" w:lineRule="auto"/>
        <w:rPr>
          <w:rFonts w:ascii="方正小标宋简体" w:hAnsi="黑体" w:eastAsia="方正小标宋简体" w:cs="仿宋_GB2312"/>
          <w:color w:val="000000" w:themeColor="text1"/>
          <w14:textFill>
            <w14:solidFill>
              <w14:schemeClr w14:val="tx1"/>
            </w14:solidFill>
          </w14:textFill>
        </w:rPr>
      </w:pPr>
      <w:bookmarkStart w:id="134" w:name="_Toc23986"/>
      <w:bookmarkStart w:id="135" w:name="_Toc22690"/>
      <w:bookmarkStart w:id="136" w:name="_Toc452"/>
      <w:r>
        <w:rPr>
          <w:rFonts w:hint="eastAsia" w:ascii="方正小标宋简体" w:hAnsi="黑体" w:eastAsia="方正小标宋简体" w:cs="仿宋_GB2312"/>
          <w:color w:val="000000" w:themeColor="text1"/>
          <w14:textFill>
            <w14:solidFill>
              <w14:schemeClr w14:val="tx1"/>
            </w14:solidFill>
          </w14:textFill>
        </w:rPr>
        <w:t>第五章 政府采购合同条款</w:t>
      </w:r>
      <w:bookmarkEnd w:id="133"/>
      <w:r>
        <w:rPr>
          <w:rFonts w:hint="eastAsia" w:ascii="方正小标宋简体" w:hAnsi="黑体" w:eastAsia="方正小标宋简体" w:cs="仿宋_GB2312"/>
          <w:color w:val="000000" w:themeColor="text1"/>
          <w14:textFill>
            <w14:solidFill>
              <w14:schemeClr w14:val="tx1"/>
            </w14:solidFill>
          </w14:textFill>
        </w:rPr>
        <w:t>及格式</w:t>
      </w:r>
      <w:bookmarkEnd w:id="134"/>
      <w:bookmarkEnd w:id="135"/>
      <w:bookmarkEnd w:id="136"/>
    </w:p>
    <w:p>
      <w:pPr>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br w:type="page"/>
      </w:r>
    </w:p>
    <w:p>
      <w:pPr>
        <w:pStyle w:val="3"/>
        <w:adjustRightInd w:val="0"/>
        <w:snapToGrid w:val="0"/>
        <w:spacing w:line="240" w:lineRule="auto"/>
        <w:jc w:val="left"/>
        <w:rPr>
          <w:rFonts w:ascii="仿宋_GB2312" w:hAnsi="仿宋" w:eastAsia="仿宋_GB2312" w:cs="仿宋_GB2312"/>
          <w:color w:val="000000" w:themeColor="text1"/>
          <w:szCs w:val="28"/>
          <w14:textFill>
            <w14:solidFill>
              <w14:schemeClr w14:val="tx1"/>
            </w14:solidFill>
          </w14:textFill>
        </w:rPr>
      </w:pPr>
      <w:bookmarkStart w:id="137" w:name="_Toc23704_WPSOffice_Level1"/>
      <w:r>
        <w:rPr>
          <w:rFonts w:hint="eastAsia" w:ascii="仿宋_GB2312" w:hAnsi="仿宋" w:eastAsia="仿宋_GB2312" w:cs="仿宋_GB2312"/>
          <w:color w:val="000000" w:themeColor="text1"/>
          <w:szCs w:val="28"/>
          <w14:textFill>
            <w14:solidFill>
              <w14:schemeClr w14:val="tx1"/>
            </w14:solidFill>
          </w14:textFill>
        </w:rPr>
        <w:t>合同条款</w:t>
      </w:r>
      <w:bookmarkEnd w:id="137"/>
    </w:p>
    <w:p>
      <w:pPr>
        <w:pStyle w:val="2"/>
        <w:snapToGrid w:val="0"/>
        <w:spacing w:before="159" w:beforeLines="50" w:after="159" w:afterLines="50" w:line="360" w:lineRule="auto"/>
        <w:rPr>
          <w:rFonts w:ascii="方正小标宋简体" w:hAnsi="黑体" w:eastAsia="方正小标宋简体" w:cs="仿宋_GB2312"/>
          <w:color w:val="000000" w:themeColor="text1"/>
          <w:sz w:val="36"/>
          <w14:textFill>
            <w14:solidFill>
              <w14:schemeClr w14:val="tx1"/>
            </w14:solidFill>
          </w14:textFill>
        </w:rPr>
      </w:pPr>
      <w:bookmarkStart w:id="138" w:name="_Toc116291181"/>
      <w:bookmarkStart w:id="139" w:name="_Toc6489"/>
      <w:bookmarkStart w:id="140" w:name="_Toc19330"/>
      <w:bookmarkStart w:id="141" w:name="_Toc19395"/>
      <w:bookmarkStart w:id="142" w:name="_Toc22619"/>
      <w:r>
        <w:rPr>
          <w:rFonts w:hint="eastAsia" w:ascii="方正小标宋简体" w:hAnsi="黑体" w:eastAsia="方正小标宋简体" w:cs="仿宋_GB2312"/>
          <w:color w:val="000000" w:themeColor="text1"/>
          <w:sz w:val="36"/>
          <w14:textFill>
            <w14:solidFill>
              <w14:schemeClr w14:val="tx1"/>
            </w14:solidFill>
          </w14:textFill>
        </w:rPr>
        <w:t>政府采购合同条款</w:t>
      </w:r>
      <w:bookmarkEnd w:id="138"/>
      <w:bookmarkEnd w:id="139"/>
      <w:bookmarkEnd w:id="140"/>
      <w:bookmarkEnd w:id="141"/>
      <w:bookmarkEnd w:id="142"/>
    </w:p>
    <w:p>
      <w:pPr>
        <w:numPr>
          <w:ilvl w:val="0"/>
          <w:numId w:val="11"/>
        </w:numPr>
        <w:spacing w:line="360" w:lineRule="auto"/>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术语定义</w:t>
      </w:r>
    </w:p>
    <w:p>
      <w:pPr>
        <w:spacing w:line="360" w:lineRule="auto"/>
        <w:ind w:firstLine="411" w:firstLineChars="196"/>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本政府采购合同下列术语应解释为：</w:t>
      </w:r>
    </w:p>
    <w:p>
      <w:pPr>
        <w:spacing w:line="360" w:lineRule="auto"/>
        <w:ind w:firstLine="420" w:firstLineChars="200"/>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w:t>
      </w:r>
      <w:r>
        <w:rPr>
          <w:rFonts w:hint="eastAsia" w:ascii="仿宋_GB2312" w:hAnsi="仿宋" w:eastAsia="仿宋_GB2312"/>
          <w:b/>
          <w:color w:val="000000" w:themeColor="text1"/>
          <w:szCs w:val="21"/>
          <w14:textFill>
            <w14:solidFill>
              <w14:schemeClr w14:val="tx1"/>
            </w14:solidFill>
          </w14:textFill>
        </w:rPr>
        <w:t>.</w:t>
      </w:r>
      <w:r>
        <w:rPr>
          <w:rFonts w:hint="eastAsia" w:ascii="仿宋_GB2312" w:hAnsi="仿宋" w:eastAsia="仿宋_GB2312"/>
          <w:color w:val="000000" w:themeColor="text1"/>
          <w:szCs w:val="21"/>
          <w14:textFill>
            <w14:solidFill>
              <w14:schemeClr w14:val="tx1"/>
            </w14:solidFill>
          </w14:textFill>
        </w:rPr>
        <w:t>1“政府采购合同”指供需双方依照政府采购程序、按照招标文件、投标文件确定的事项所达成的协议，包括附件、附录和上述文件所提到的构成政府采购合同的所有文件。</w:t>
      </w:r>
    </w:p>
    <w:p>
      <w:pPr>
        <w:spacing w:line="360" w:lineRule="auto"/>
        <w:ind w:firstLine="420" w:firstLineChars="200"/>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w:t>
      </w:r>
      <w:r>
        <w:rPr>
          <w:rFonts w:hint="eastAsia" w:ascii="仿宋_GB2312" w:hAnsi="仿宋" w:eastAsia="仿宋_GB2312"/>
          <w:b/>
          <w:color w:val="000000" w:themeColor="text1"/>
          <w:szCs w:val="21"/>
          <w14:textFill>
            <w14:solidFill>
              <w14:schemeClr w14:val="tx1"/>
            </w14:solidFill>
          </w14:textFill>
        </w:rPr>
        <w:t>.</w:t>
      </w:r>
      <w:r>
        <w:rPr>
          <w:rFonts w:hint="eastAsia" w:ascii="仿宋_GB2312" w:hAnsi="仿宋" w:eastAsia="仿宋_GB2312"/>
          <w:color w:val="000000" w:themeColor="text1"/>
          <w:szCs w:val="21"/>
          <w14:textFill>
            <w14:solidFill>
              <w14:schemeClr w14:val="tx1"/>
            </w14:solidFill>
          </w14:textFill>
        </w:rPr>
        <w:t>2 “政府采购合同价”指根据合同约定供方在正确地完全履行政府采购合同义务后需方应支付给供方的价格。</w:t>
      </w:r>
    </w:p>
    <w:p>
      <w:pPr>
        <w:spacing w:line="360" w:lineRule="auto"/>
        <w:ind w:firstLine="420" w:firstLineChars="200"/>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1.3 “服务”指政府采购合同服务清单（同投标文件中开标一览表及其附表，下同）所约定的服务内容。</w:t>
      </w:r>
    </w:p>
    <w:p>
      <w:pPr>
        <w:spacing w:line="360" w:lineRule="auto"/>
        <w:ind w:firstLine="420" w:firstLineChars="200"/>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1.4 “需方”指项目基本内容及要求中所述取得产品和服务的采购单位。</w:t>
      </w:r>
    </w:p>
    <w:p>
      <w:pPr>
        <w:spacing w:line="360" w:lineRule="auto"/>
        <w:ind w:firstLine="420" w:firstLineChars="200"/>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1.5 “供方”指项目基本内容及要求中所述提供产品和服务的中标供应商。</w:t>
      </w:r>
    </w:p>
    <w:p>
      <w:pPr>
        <w:spacing w:line="360" w:lineRule="auto"/>
        <w:ind w:firstLine="420" w:firstLineChars="200"/>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1.6 “检验”指需方按照政府采购合同约定的标准对供方所提供服务进行的检测和查验。</w:t>
      </w:r>
    </w:p>
    <w:p>
      <w:pPr>
        <w:spacing w:line="360" w:lineRule="auto"/>
        <w:ind w:firstLine="420" w:firstLineChars="200"/>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1.7 “验收书”指采购单位或采购组织机构根据合同履约验收意见书形成反映采购单位和组织验收机构意见的文件。</w:t>
      </w:r>
    </w:p>
    <w:p>
      <w:pPr>
        <w:spacing w:line="360" w:lineRule="auto"/>
        <w:ind w:firstLine="420" w:firstLineChars="200"/>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1.8“天”指日历天数（如无特别说明）。</w:t>
      </w:r>
    </w:p>
    <w:p>
      <w:pPr>
        <w:spacing w:line="360" w:lineRule="auto"/>
        <w:ind w:firstLine="420" w:firstLineChars="200"/>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1.9“第三人”是指本政府采购合同双方以外的任何中国境内外的自然人、法人或其它经济组织。</w:t>
      </w:r>
    </w:p>
    <w:p>
      <w:pPr>
        <w:spacing w:line="360" w:lineRule="auto"/>
        <w:ind w:firstLine="420" w:firstLineChars="200"/>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1.10“法律、法规”是指由中国各级政府及有关部门制定的法律、行政法规、地方性法规、规章及其它规范性文件的有关规定。</w:t>
      </w:r>
    </w:p>
    <w:p>
      <w:pPr>
        <w:spacing w:line="360" w:lineRule="auto"/>
        <w:ind w:firstLine="420" w:firstLineChars="200"/>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1.11“招标文件”指采购人或采购组织机构发布的招标文件。</w:t>
      </w:r>
    </w:p>
    <w:p>
      <w:pPr>
        <w:spacing w:line="360" w:lineRule="auto"/>
        <w:ind w:firstLine="420" w:firstLineChars="200"/>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1.12“投标文件”指供方按照采购组织机构招标文件的要求编制和递交，并最终被评标委员会接受的投标文件。</w:t>
      </w:r>
    </w:p>
    <w:p>
      <w:pPr>
        <w:spacing w:line="360" w:lineRule="auto"/>
        <w:ind w:firstLine="417" w:firstLineChars="199"/>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2.技术规范与服务内容</w:t>
      </w:r>
    </w:p>
    <w:p>
      <w:pPr>
        <w:spacing w:line="360" w:lineRule="auto"/>
        <w:ind w:firstLine="417" w:firstLineChars="199"/>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2.1投标服务的技术规范应与招标文件规定的技术规范（如果有的话）相一致。若无相应说明，则以国家有关部门最新颁布的相应标准及规范为准。</w:t>
      </w:r>
    </w:p>
    <w:p>
      <w:pPr>
        <w:spacing w:line="360" w:lineRule="auto"/>
        <w:ind w:firstLine="417" w:firstLineChars="199"/>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2.2 投标服务的服务内容应与招标文件规定服务内容及投标文件中的项目要求及投标响应表一致。</w:t>
      </w:r>
    </w:p>
    <w:p>
      <w:pPr>
        <w:spacing w:line="360" w:lineRule="auto"/>
        <w:ind w:firstLine="417" w:firstLineChars="199"/>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3.知识产权</w:t>
      </w:r>
    </w:p>
    <w:p>
      <w:pPr>
        <w:spacing w:line="360" w:lineRule="auto"/>
        <w:ind w:firstLine="411" w:firstLineChars="196"/>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pPr>
        <w:spacing w:line="360" w:lineRule="auto"/>
        <w:ind w:firstLine="411" w:firstLineChars="196"/>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3.2供方应保证所供服务符合国家的有关规定。</w:t>
      </w:r>
    </w:p>
    <w:p>
      <w:pPr>
        <w:tabs>
          <w:tab w:val="left" w:pos="360"/>
        </w:tabs>
        <w:spacing w:line="360" w:lineRule="auto"/>
        <w:ind w:firstLine="417" w:firstLineChars="199"/>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pPr>
        <w:spacing w:line="360" w:lineRule="auto"/>
        <w:ind w:firstLine="417" w:firstLineChars="199"/>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4.完成方式</w:t>
      </w:r>
    </w:p>
    <w:p>
      <w:pPr>
        <w:spacing w:line="360" w:lineRule="auto"/>
        <w:ind w:firstLine="417" w:firstLineChars="199"/>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供方按照合同约定的时间、地点完成服务。</w:t>
      </w:r>
    </w:p>
    <w:p>
      <w:pPr>
        <w:spacing w:line="360" w:lineRule="auto"/>
        <w:ind w:firstLine="417" w:firstLineChars="199"/>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5.付款</w:t>
      </w:r>
    </w:p>
    <w:p>
      <w:pPr>
        <w:spacing w:line="360" w:lineRule="auto"/>
        <w:ind w:firstLine="417" w:firstLineChars="199"/>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5.1政府采购合同以人民币付款。</w:t>
      </w:r>
    </w:p>
    <w:p>
      <w:pPr>
        <w:spacing w:line="360" w:lineRule="auto"/>
        <w:ind w:firstLine="417" w:firstLineChars="199"/>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5.2在供方按照政府采购合同的规定履行服务后，需方按照合同约定的方式和条件付款。</w:t>
      </w:r>
    </w:p>
    <w:p>
      <w:pPr>
        <w:spacing w:line="360" w:lineRule="auto"/>
        <w:ind w:firstLine="420" w:firstLineChars="200"/>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6.服务质量</w:t>
      </w:r>
    </w:p>
    <w:p>
      <w:pPr>
        <w:spacing w:line="360" w:lineRule="auto"/>
        <w:ind w:firstLine="420" w:firstLineChars="200"/>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6.1供方应保证政府采购合同项下所供服务是由供方提供的，并完全符合强制性的国家技术质量规范和政府采购合同规定的质量、性能和技术规范等要求。</w:t>
      </w:r>
    </w:p>
    <w:p>
      <w:pPr>
        <w:spacing w:line="360" w:lineRule="auto"/>
        <w:ind w:firstLine="420" w:firstLineChars="200"/>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6.2供方提供的服务质量应满足行业一般标准，符合合同约定。</w:t>
      </w:r>
    </w:p>
    <w:p>
      <w:pPr>
        <w:spacing w:line="360" w:lineRule="auto"/>
        <w:ind w:firstLine="420" w:firstLineChars="200"/>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6.3需方有权对供方的服务质量进行监督，发现服务存在不符合合同标准的情形的，可以要求供方改正服务方式、替换服务人员等补救方式，供方应按需方要求改正，并赔偿需方实际损失。</w:t>
      </w:r>
    </w:p>
    <w:p>
      <w:pPr>
        <w:spacing w:line="360" w:lineRule="auto"/>
        <w:ind w:firstLine="420" w:firstLineChars="200"/>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6.4对于委托开发等最终以产品形式交付需方使用的服务，供方需按照招标文件要求对产品提供售后服务及质量保证，供方投标文件承诺的售后服务及质量保证优于招标文件要求的，以投标文件承诺的售后服务及质量保证为准。</w:t>
      </w:r>
    </w:p>
    <w:p>
      <w:pPr>
        <w:spacing w:line="360" w:lineRule="auto"/>
        <w:ind w:firstLine="411" w:firstLineChars="196"/>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7.技术服务和保修责任</w:t>
      </w:r>
    </w:p>
    <w:p>
      <w:pPr>
        <w:spacing w:line="360" w:lineRule="auto"/>
        <w:ind w:firstLine="411" w:firstLineChars="196"/>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7.1本条适用于</w:t>
      </w:r>
      <w:r>
        <w:rPr>
          <w:rFonts w:hint="eastAsia" w:ascii="仿宋_GB2312" w:hAnsi="仿宋" w:eastAsia="仿宋_GB2312" w:cs="Arial"/>
          <w:color w:val="000000" w:themeColor="text1"/>
          <w:szCs w:val="21"/>
          <w14:textFill>
            <w14:solidFill>
              <w14:schemeClr w14:val="tx1"/>
            </w14:solidFill>
          </w14:textFill>
        </w:rPr>
        <w:t>委托开发等最终以产品形式交付需方使用的服务。</w:t>
      </w:r>
    </w:p>
    <w:p>
      <w:pPr>
        <w:spacing w:line="360" w:lineRule="auto"/>
        <w:ind w:firstLine="411" w:firstLineChars="196"/>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7.2供方对交付的产品的保修期，以招标文件中的规定为准，如果投标文件中的承诺优于招标文件规定，则以投标文件为准。</w:t>
      </w:r>
    </w:p>
    <w:p>
      <w:pPr>
        <w:spacing w:line="360" w:lineRule="auto"/>
        <w:ind w:firstLine="411" w:firstLineChars="196"/>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7.3供方应按如下内容提供售后服务：</w:t>
      </w:r>
    </w:p>
    <w:p>
      <w:pPr>
        <w:spacing w:line="360" w:lineRule="auto"/>
        <w:ind w:firstLine="411" w:firstLineChars="196"/>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7.3.1产品经过试运行期，所有性能指标达到技术规范书的要求时，可按招标文件、投标文件内容进行初验。在试运行期间，由于产品质量等造成某些指标达不到要求，供方须更换或进行修复，试运行期重新计算。</w:t>
      </w:r>
    </w:p>
    <w:p>
      <w:pPr>
        <w:spacing w:line="360" w:lineRule="auto"/>
        <w:ind w:firstLine="411" w:firstLineChars="196"/>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7.3.2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spacing w:line="360" w:lineRule="auto"/>
        <w:ind w:firstLine="411" w:firstLineChars="196"/>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7.3.3保修期间供方要保修除消耗品以外的所有产品。如果系统、设备等发生故障，供方要调查故障原因并修复直至满足最终验收指标和性能的要求，或者修理、更换整个或部分有缺陷的材料。</w:t>
      </w:r>
    </w:p>
    <w:p>
      <w:pPr>
        <w:spacing w:line="360" w:lineRule="auto"/>
        <w:ind w:firstLine="411" w:firstLineChars="196"/>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7.3.4保修期内，供方提供电话、电子邮件、Web、现场服务等方式的技术支持，对用户的现场服务要求，供方必须按投标文件做出的承诺进行响应。</w:t>
      </w:r>
    </w:p>
    <w:p>
      <w:pPr>
        <w:spacing w:line="360" w:lineRule="auto"/>
        <w:ind w:firstLine="411" w:firstLineChars="196"/>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7.3.5保修期内，供方应对出现故障无法修复的产品或无法正常运行的系统，提供替代产品以保证系统的正常工作。</w:t>
      </w:r>
    </w:p>
    <w:p>
      <w:pPr>
        <w:spacing w:line="360" w:lineRule="auto"/>
        <w:ind w:firstLine="411" w:firstLineChars="196"/>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7.3.6保修期内，供方应投标时的承诺提供相关服务。</w:t>
      </w:r>
    </w:p>
    <w:p>
      <w:pPr>
        <w:spacing w:line="360" w:lineRule="auto"/>
        <w:ind w:firstLine="411" w:firstLineChars="196"/>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7.3.7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spacing w:line="360" w:lineRule="auto"/>
        <w:ind w:firstLine="411" w:firstLineChars="196"/>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7.3.8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spacing w:line="360" w:lineRule="auto"/>
        <w:ind w:firstLine="411" w:firstLineChars="196"/>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7.3.9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pPr>
        <w:spacing w:line="360" w:lineRule="auto"/>
        <w:ind w:firstLine="417" w:firstLineChars="199"/>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7.3.10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spacing w:line="360" w:lineRule="auto"/>
        <w:ind w:firstLine="417" w:firstLineChars="199"/>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8.检验和验收</w:t>
      </w:r>
    </w:p>
    <w:p>
      <w:pPr>
        <w:spacing w:line="360" w:lineRule="auto"/>
        <w:ind w:firstLine="417" w:firstLineChars="199"/>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8.1完成服务后，需方或采购组织机构（由具体项目决定）应在政府采购合同规定的时间内组织验收，并在“验收书”上签字。“验收书”将作为申请付款文件的一部分。</w:t>
      </w:r>
    </w:p>
    <w:p>
      <w:pPr>
        <w:spacing w:line="360" w:lineRule="auto"/>
        <w:ind w:firstLine="417" w:firstLineChars="199"/>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8.2</w:t>
      </w:r>
      <w:r>
        <w:rPr>
          <w:rFonts w:hint="eastAsia" w:ascii="仿宋_GB2312" w:hAnsi="仿宋" w:eastAsia="仿宋_GB2312" w:cs="Arial"/>
          <w:color w:val="000000" w:themeColor="text1"/>
          <w:szCs w:val="21"/>
          <w14:textFill>
            <w14:solidFill>
              <w14:schemeClr w14:val="tx1"/>
            </w14:solidFill>
          </w14:textFill>
        </w:rPr>
        <w:t>对于委托开发等最终以产品形式交付需方使用的服务，</w:t>
      </w:r>
      <w:r>
        <w:rPr>
          <w:rFonts w:hint="eastAsia" w:ascii="仿宋_GB2312" w:hAnsi="仿宋" w:eastAsia="仿宋_GB2312"/>
          <w:color w:val="000000" w:themeColor="text1"/>
          <w:szCs w:val="21"/>
          <w14:textFill>
            <w14:solidFill>
              <w14:schemeClr w14:val="tx1"/>
            </w14:solidFill>
          </w14:textFill>
        </w:rPr>
        <w:t>保修期自验收书签署之日起计算。</w:t>
      </w:r>
    </w:p>
    <w:p>
      <w:pPr>
        <w:tabs>
          <w:tab w:val="left" w:pos="360"/>
        </w:tabs>
        <w:spacing w:line="360" w:lineRule="auto"/>
        <w:ind w:firstLine="457" w:firstLineChars="218"/>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9.违约责任</w:t>
      </w:r>
    </w:p>
    <w:p>
      <w:pPr>
        <w:spacing w:line="360" w:lineRule="auto"/>
        <w:ind w:firstLine="457" w:firstLineChars="218"/>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9.1如果供方未按照政府采购合同规定的要求提供服务；或供方未能履行政府采购合同规定的任何其它义务时，需方有权向供方发出违约通知书，供方应按照需方选择的下列一种或多种方式承担赔偿责任：</w:t>
      </w:r>
    </w:p>
    <w:p>
      <w:pPr>
        <w:spacing w:line="360" w:lineRule="auto"/>
        <w:ind w:firstLine="420" w:firstLineChars="200"/>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9.1.1在需方同意延长的期限内提供服务并承担由此给需方造成的一切损失；</w:t>
      </w:r>
    </w:p>
    <w:p>
      <w:pPr>
        <w:spacing w:line="360" w:lineRule="auto"/>
        <w:ind w:firstLine="420" w:firstLineChars="200"/>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9.1.2在需方规定的时间内，用符合政府采购合同规定的服务以达到政府采购合同规定的要求，供方应承担由此发生的一切费用和风险。此时，相关服务的期限也应相应延长；</w:t>
      </w:r>
    </w:p>
    <w:p>
      <w:pPr>
        <w:spacing w:line="360" w:lineRule="auto"/>
        <w:ind w:firstLine="420" w:firstLineChars="200"/>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9.1.3需方有权部分或全部解除政府采购合同并要求供方赔偿由此造成的损失。此时需方可采取必要的补救措施，相关费用由供方承担。</w:t>
      </w:r>
    </w:p>
    <w:p>
      <w:pPr>
        <w:spacing w:line="360" w:lineRule="auto"/>
        <w:ind w:firstLine="420" w:firstLineChars="200"/>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pPr>
        <w:spacing w:line="360" w:lineRule="auto"/>
        <w:ind w:firstLine="420" w:firstLineChars="200"/>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9.3延期服务的违约责任</w:t>
      </w:r>
    </w:p>
    <w:p>
      <w:pPr>
        <w:spacing w:line="360" w:lineRule="auto"/>
        <w:ind w:firstLine="420" w:firstLineChars="200"/>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9.3.1除本合同条款第9条规定外，如果供方没有按照政府采购合同规定的时间提供服务，需方可要求供方支付违约金。违约金按照每周未提供服务费用的0.5%计收，但违约金的最高限额为未提供服务的合同价格的5%。一周按7天计算，不足7天按一周计算。如果达到最高限额，需方有权解除政府采购合同。</w:t>
      </w:r>
    </w:p>
    <w:p>
      <w:pPr>
        <w:spacing w:line="360" w:lineRule="auto"/>
        <w:ind w:firstLine="411" w:firstLineChars="196"/>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9.4以上各项交付的违约金并不影响违约方履行政府采购合同的各项义务。</w:t>
      </w:r>
    </w:p>
    <w:p>
      <w:pPr>
        <w:spacing w:line="360" w:lineRule="auto"/>
        <w:ind w:left="420"/>
        <w:rPr>
          <w:rFonts w:ascii="仿宋_GB2312" w:hAnsi="仿宋" w:eastAsia="仿宋_GB2312" w:cs="Arial"/>
          <w:b/>
          <w:color w:val="000000" w:themeColor="text1"/>
          <w:szCs w:val="21"/>
          <w14:textFill>
            <w14:solidFill>
              <w14:schemeClr w14:val="tx1"/>
            </w14:solidFill>
          </w14:textFill>
        </w:rPr>
      </w:pPr>
      <w:r>
        <w:rPr>
          <w:rFonts w:hint="eastAsia" w:ascii="仿宋_GB2312" w:hAnsi="仿宋" w:eastAsia="仿宋_GB2312" w:cs="Arial"/>
          <w:b/>
          <w:color w:val="000000" w:themeColor="text1"/>
          <w:szCs w:val="21"/>
          <w14:textFill>
            <w14:solidFill>
              <w14:schemeClr w14:val="tx1"/>
            </w14:solidFill>
          </w14:textFill>
        </w:rPr>
        <w:t>10.不可抗力</w:t>
      </w:r>
    </w:p>
    <w:p>
      <w:pPr>
        <w:spacing w:line="360" w:lineRule="auto"/>
        <w:ind w:firstLine="411" w:firstLineChars="196"/>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pPr>
        <w:spacing w:line="360" w:lineRule="auto"/>
        <w:ind w:firstLine="411" w:firstLineChars="196"/>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10.2本条所述的“不可抗力”系指那些双方无法控制，不可预见的事件，但不包括双方的违约或疏忽。这些事件包括但不限于：战争、严重火灾、洪水、台风、地震。</w:t>
      </w:r>
    </w:p>
    <w:p>
      <w:pPr>
        <w:spacing w:line="360" w:lineRule="auto"/>
        <w:ind w:firstLine="411" w:firstLineChars="196"/>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pPr>
        <w:spacing w:line="360" w:lineRule="auto"/>
        <w:ind w:firstLine="411" w:firstLineChars="196"/>
        <w:rPr>
          <w:rFonts w:ascii="仿宋_GB2312" w:hAnsi="仿宋" w:eastAsia="仿宋_GB2312" w:cs="Arial"/>
          <w:b/>
          <w:color w:val="000000" w:themeColor="text1"/>
          <w:szCs w:val="21"/>
          <w14:textFill>
            <w14:solidFill>
              <w14:schemeClr w14:val="tx1"/>
            </w14:solidFill>
          </w14:textFill>
        </w:rPr>
      </w:pPr>
      <w:r>
        <w:rPr>
          <w:rFonts w:hint="eastAsia" w:ascii="仿宋_GB2312" w:hAnsi="仿宋" w:eastAsia="仿宋_GB2312" w:cs="Arial"/>
          <w:b/>
          <w:color w:val="000000" w:themeColor="text1"/>
          <w:szCs w:val="21"/>
          <w14:textFill>
            <w14:solidFill>
              <w14:schemeClr w14:val="tx1"/>
            </w14:solidFill>
          </w14:textFill>
        </w:rPr>
        <w:t>11.争端的解决</w:t>
      </w:r>
    </w:p>
    <w:p>
      <w:pPr>
        <w:spacing w:line="360" w:lineRule="auto"/>
        <w:ind w:firstLine="411" w:firstLineChars="196"/>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11.1需方和供方应通过友好协商，解决在执行本政府采购合同过程中所发生的或与本政府采购合同有关的一切争端。</w:t>
      </w:r>
    </w:p>
    <w:p>
      <w:pPr>
        <w:spacing w:line="360" w:lineRule="auto"/>
        <w:ind w:firstLine="411" w:firstLineChars="196"/>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11.2如果协商不成，双方中的任何一方可向需方所在地的人民法院提起诉讼。</w:t>
      </w:r>
    </w:p>
    <w:p>
      <w:pPr>
        <w:spacing w:line="360" w:lineRule="auto"/>
        <w:ind w:firstLine="411" w:firstLineChars="196"/>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11.3因政府采购合同部分履行引发诉讼的，在诉讼期间，除正在进行诉讼的部分外，本政府采购合同的其它部分应继续执行。</w:t>
      </w:r>
    </w:p>
    <w:p>
      <w:pPr>
        <w:spacing w:line="360" w:lineRule="auto"/>
        <w:ind w:firstLine="411" w:firstLineChars="196"/>
        <w:rPr>
          <w:rFonts w:ascii="仿宋_GB2312" w:hAnsi="仿宋" w:eastAsia="仿宋_GB2312" w:cs="Arial"/>
          <w:b/>
          <w:color w:val="000000" w:themeColor="text1"/>
          <w:szCs w:val="21"/>
          <w14:textFill>
            <w14:solidFill>
              <w14:schemeClr w14:val="tx1"/>
            </w14:solidFill>
          </w14:textFill>
        </w:rPr>
      </w:pPr>
      <w:r>
        <w:rPr>
          <w:rFonts w:hint="eastAsia" w:ascii="仿宋_GB2312" w:hAnsi="仿宋" w:eastAsia="仿宋_GB2312" w:cs="Arial"/>
          <w:b/>
          <w:color w:val="000000" w:themeColor="text1"/>
          <w:szCs w:val="21"/>
          <w14:textFill>
            <w14:solidFill>
              <w14:schemeClr w14:val="tx1"/>
            </w14:solidFill>
          </w14:textFill>
        </w:rPr>
        <w:t>12.违约终止政府采购合同</w:t>
      </w:r>
    </w:p>
    <w:p>
      <w:pPr>
        <w:spacing w:line="360" w:lineRule="auto"/>
        <w:ind w:firstLine="411" w:firstLineChars="196"/>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12.1在需方因供方违约而按政府采购合同约定采取的任何补救措施不起作用的情况下，需方可在下列情况下向供方发出书面通知，提出终止部分或全部政府采购合同。</w:t>
      </w:r>
    </w:p>
    <w:p>
      <w:pPr>
        <w:spacing w:line="360" w:lineRule="auto"/>
        <w:ind w:firstLine="411" w:firstLineChars="196"/>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12.1.1如果供方未能在政府采购合同规定的限期或需方同意延长的限期内提供部分或全部服务；</w:t>
      </w:r>
    </w:p>
    <w:p>
      <w:pPr>
        <w:spacing w:line="360" w:lineRule="auto"/>
        <w:ind w:firstLine="411" w:firstLineChars="196"/>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12.1.2如果供方未能履行政府采购合同规定的其它任何义务。</w:t>
      </w:r>
    </w:p>
    <w:p>
      <w:pPr>
        <w:spacing w:line="360" w:lineRule="auto"/>
        <w:ind w:firstLine="411" w:firstLineChars="196"/>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12.1.3未经需方事先书面同意，供方部分转让和分包或全部转让和分包其应履行的政府采购合同义务。</w:t>
      </w:r>
    </w:p>
    <w:p>
      <w:pPr>
        <w:spacing w:line="360" w:lineRule="auto"/>
        <w:ind w:firstLine="411" w:firstLineChars="196"/>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pPr>
        <w:spacing w:line="360" w:lineRule="auto"/>
        <w:ind w:firstLine="411" w:firstLineChars="196"/>
        <w:rPr>
          <w:rFonts w:ascii="仿宋_GB2312" w:hAnsi="仿宋" w:eastAsia="仿宋_GB2312" w:cs="Arial"/>
          <w:b/>
          <w:color w:val="000000" w:themeColor="text1"/>
          <w:szCs w:val="21"/>
          <w14:textFill>
            <w14:solidFill>
              <w14:schemeClr w14:val="tx1"/>
            </w14:solidFill>
          </w14:textFill>
        </w:rPr>
      </w:pPr>
      <w:r>
        <w:rPr>
          <w:rFonts w:hint="eastAsia" w:ascii="仿宋_GB2312" w:hAnsi="仿宋" w:eastAsia="仿宋_GB2312" w:cs="Arial"/>
          <w:b/>
          <w:color w:val="000000" w:themeColor="text1"/>
          <w:szCs w:val="21"/>
          <w14:textFill>
            <w14:solidFill>
              <w14:schemeClr w14:val="tx1"/>
            </w14:solidFill>
          </w14:textFill>
        </w:rPr>
        <w:t>13.政府采购法对政府采购合同变更终止的规定</w:t>
      </w:r>
    </w:p>
    <w:p>
      <w:pPr>
        <w:spacing w:line="360" w:lineRule="auto"/>
        <w:ind w:firstLine="411" w:firstLineChars="196"/>
        <w:rPr>
          <w:rFonts w:ascii="仿宋_GB2312" w:hAnsi="仿宋" w:eastAsia="仿宋_GB2312" w:cs="Arial"/>
          <w:b/>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pPr>
        <w:spacing w:line="360" w:lineRule="auto"/>
        <w:ind w:firstLine="411" w:firstLineChars="196"/>
        <w:rPr>
          <w:rFonts w:ascii="仿宋_GB2312" w:hAnsi="仿宋" w:eastAsia="仿宋_GB2312" w:cs="Arial"/>
          <w:b/>
          <w:color w:val="000000" w:themeColor="text1"/>
          <w:szCs w:val="21"/>
          <w14:textFill>
            <w14:solidFill>
              <w14:schemeClr w14:val="tx1"/>
            </w14:solidFill>
          </w14:textFill>
        </w:rPr>
      </w:pPr>
      <w:r>
        <w:rPr>
          <w:rFonts w:hint="eastAsia" w:ascii="仿宋_GB2312" w:hAnsi="仿宋" w:eastAsia="仿宋_GB2312" w:cs="Arial"/>
          <w:b/>
          <w:color w:val="000000" w:themeColor="text1"/>
          <w:szCs w:val="21"/>
          <w14:textFill>
            <w14:solidFill>
              <w14:schemeClr w14:val="tx1"/>
            </w14:solidFill>
          </w14:textFill>
        </w:rPr>
        <w:t>14.政府采购合同转让和分包</w:t>
      </w:r>
    </w:p>
    <w:p>
      <w:pPr>
        <w:spacing w:line="360" w:lineRule="auto"/>
        <w:ind w:firstLine="411" w:firstLineChars="196"/>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除招标文件规定,并经需方事先书面同意外，供方不得部分转让和分包或全部转让和分包其应履行的政府采购合同义务。</w:t>
      </w:r>
    </w:p>
    <w:p>
      <w:pPr>
        <w:spacing w:line="360" w:lineRule="auto"/>
        <w:ind w:firstLine="411" w:firstLineChars="196"/>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b/>
          <w:color w:val="000000" w:themeColor="text1"/>
          <w:szCs w:val="21"/>
          <w14:textFill>
            <w14:solidFill>
              <w14:schemeClr w14:val="tx1"/>
            </w14:solidFill>
          </w14:textFill>
        </w:rPr>
        <w:t>15.适用法律：</w:t>
      </w:r>
      <w:r>
        <w:rPr>
          <w:rFonts w:hint="eastAsia" w:ascii="仿宋_GB2312" w:hAnsi="仿宋" w:eastAsia="仿宋_GB2312" w:cs="Arial"/>
          <w:color w:val="000000" w:themeColor="text1"/>
          <w:szCs w:val="21"/>
          <w14:textFill>
            <w14:solidFill>
              <w14:schemeClr w14:val="tx1"/>
            </w14:solidFill>
          </w14:textFill>
        </w:rPr>
        <w:t>本政府采购合同按照中华人民共和国的现行法律进行解释。</w:t>
      </w:r>
    </w:p>
    <w:p>
      <w:pPr>
        <w:spacing w:line="360" w:lineRule="auto"/>
        <w:ind w:firstLine="411" w:firstLineChars="196"/>
        <w:rPr>
          <w:rFonts w:ascii="仿宋_GB2312" w:hAnsi="仿宋" w:eastAsia="仿宋_GB2312" w:cs="Arial"/>
          <w:b/>
          <w:color w:val="000000" w:themeColor="text1"/>
          <w:szCs w:val="21"/>
          <w14:textFill>
            <w14:solidFill>
              <w14:schemeClr w14:val="tx1"/>
            </w14:solidFill>
          </w14:textFill>
        </w:rPr>
      </w:pPr>
      <w:r>
        <w:rPr>
          <w:rFonts w:hint="eastAsia" w:ascii="仿宋_GB2312" w:hAnsi="仿宋" w:eastAsia="仿宋_GB2312" w:cs="Arial"/>
          <w:b/>
          <w:color w:val="000000" w:themeColor="text1"/>
          <w:szCs w:val="21"/>
          <w14:textFill>
            <w14:solidFill>
              <w14:schemeClr w14:val="tx1"/>
            </w14:solidFill>
          </w14:textFill>
        </w:rPr>
        <w:t>16.政府采购合同生效</w:t>
      </w:r>
    </w:p>
    <w:p>
      <w:pPr>
        <w:spacing w:line="360" w:lineRule="auto"/>
        <w:ind w:firstLine="411" w:firstLineChars="196"/>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16.1本政府采购合同在供需双方法定代表人或其授权代理人签字和加盖公章后生效。</w:t>
      </w:r>
    </w:p>
    <w:p>
      <w:pPr>
        <w:spacing w:line="360" w:lineRule="auto"/>
        <w:ind w:firstLine="411" w:firstLineChars="196"/>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16.2本政府采购合同一式五份，需方执二份，供方、</w:t>
      </w:r>
      <w:r>
        <w:rPr>
          <w:rFonts w:hint="eastAsia" w:ascii="仿宋_GB2312" w:hAnsi="仿宋" w:eastAsia="仿宋_GB2312" w:cs="Lucida Sans Unicode"/>
          <w:color w:val="000000" w:themeColor="text1"/>
          <w:szCs w:val="21"/>
          <w14:textFill>
            <w14:solidFill>
              <w14:schemeClr w14:val="tx1"/>
            </w14:solidFill>
          </w14:textFill>
        </w:rPr>
        <w:t>采购组织机构</w:t>
      </w:r>
      <w:r>
        <w:rPr>
          <w:rFonts w:hint="eastAsia" w:ascii="仿宋_GB2312" w:hAnsi="仿宋" w:eastAsia="仿宋_GB2312" w:cs="Arial"/>
          <w:color w:val="000000" w:themeColor="text1"/>
          <w:szCs w:val="21"/>
          <w14:textFill>
            <w14:solidFill>
              <w14:schemeClr w14:val="tx1"/>
            </w14:solidFill>
          </w14:textFill>
        </w:rPr>
        <w:t xml:space="preserve">、财政部门各执一份。 </w:t>
      </w:r>
    </w:p>
    <w:p>
      <w:pPr>
        <w:spacing w:line="360" w:lineRule="auto"/>
        <w:ind w:firstLine="411" w:firstLineChars="196"/>
        <w:rPr>
          <w:rFonts w:ascii="仿宋_GB2312" w:hAnsi="仿宋" w:eastAsia="仿宋_GB2312" w:cs="Arial"/>
          <w:b/>
          <w:color w:val="000000" w:themeColor="text1"/>
          <w:szCs w:val="21"/>
          <w14:textFill>
            <w14:solidFill>
              <w14:schemeClr w14:val="tx1"/>
            </w14:solidFill>
          </w14:textFill>
        </w:rPr>
      </w:pPr>
      <w:r>
        <w:rPr>
          <w:rFonts w:hint="eastAsia" w:ascii="仿宋_GB2312" w:hAnsi="仿宋" w:eastAsia="仿宋_GB2312" w:cs="Arial"/>
          <w:b/>
          <w:color w:val="000000" w:themeColor="text1"/>
          <w:szCs w:val="21"/>
          <w14:textFill>
            <w14:solidFill>
              <w14:schemeClr w14:val="tx1"/>
            </w14:solidFill>
          </w14:textFill>
        </w:rPr>
        <w:t>17.政府采购合同附件</w:t>
      </w:r>
    </w:p>
    <w:p>
      <w:pPr>
        <w:spacing w:line="360" w:lineRule="auto"/>
        <w:ind w:firstLine="411" w:firstLineChars="196"/>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下列文件构成本政府采购合同不可分割的组成部分，与本政府采购合同具有同等法律效力：</w:t>
      </w:r>
    </w:p>
    <w:p>
      <w:pPr>
        <w:spacing w:line="360" w:lineRule="auto"/>
        <w:ind w:firstLine="411" w:firstLineChars="196"/>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17.1</w:t>
      </w:r>
      <w:r>
        <w:rPr>
          <w:rFonts w:hint="eastAsia" w:ascii="仿宋_GB2312" w:hAnsi="仿宋" w:eastAsia="仿宋_GB2312"/>
          <w:color w:val="000000" w:themeColor="text1"/>
          <w:szCs w:val="21"/>
          <w14:textFill>
            <w14:solidFill>
              <w14:schemeClr w14:val="tx1"/>
            </w14:solidFill>
          </w14:textFill>
        </w:rPr>
        <w:t>招标文件；</w:t>
      </w:r>
    </w:p>
    <w:p>
      <w:pPr>
        <w:spacing w:line="360" w:lineRule="auto"/>
        <w:ind w:firstLine="420" w:firstLineChars="200"/>
        <w:jc w:val="left"/>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17.2招标文件的更正公告、变更公告；</w:t>
      </w:r>
    </w:p>
    <w:p>
      <w:pPr>
        <w:spacing w:line="360" w:lineRule="auto"/>
        <w:ind w:firstLine="420" w:firstLineChars="200"/>
        <w:jc w:val="left"/>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 xml:space="preserve">17.3中标供应商提交的投标文件；        </w:t>
      </w:r>
    </w:p>
    <w:p>
      <w:pPr>
        <w:spacing w:line="360" w:lineRule="auto"/>
        <w:ind w:firstLine="420" w:firstLineChars="200"/>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17.4</w:t>
      </w:r>
      <w:r>
        <w:rPr>
          <w:rFonts w:hint="eastAsia" w:ascii="仿宋_GB2312" w:hAnsi="仿宋" w:eastAsia="仿宋_GB2312"/>
          <w:color w:val="000000" w:themeColor="text1"/>
          <w:szCs w:val="21"/>
          <w14:textFill>
            <w14:solidFill>
              <w14:schemeClr w14:val="tx1"/>
            </w14:solidFill>
          </w14:textFill>
        </w:rPr>
        <w:t>政府采购合同条款；</w:t>
      </w:r>
    </w:p>
    <w:p>
      <w:pPr>
        <w:spacing w:line="360" w:lineRule="auto"/>
        <w:ind w:firstLine="411" w:firstLineChars="196"/>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17.5中标通知书；</w:t>
      </w:r>
    </w:p>
    <w:p>
      <w:pPr>
        <w:spacing w:line="360" w:lineRule="auto"/>
        <w:ind w:firstLine="420" w:firstLineChars="200"/>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s="Arial"/>
          <w:color w:val="000000" w:themeColor="text1"/>
          <w:szCs w:val="21"/>
          <w14:textFill>
            <w14:solidFill>
              <w14:schemeClr w14:val="tx1"/>
            </w14:solidFill>
          </w14:textFill>
        </w:rPr>
        <w:t>17.6政府采购合同的其它附件。</w:t>
      </w:r>
    </w:p>
    <w:p>
      <w:pPr>
        <w:ind w:firstLine="470" w:firstLineChars="196"/>
        <w:rPr>
          <w:rFonts w:ascii="仿宋_GB2312" w:hAnsi="仿宋" w:eastAsia="仿宋_GB2312"/>
          <w:color w:val="000000" w:themeColor="text1"/>
          <w:sz w:val="24"/>
          <w14:textFill>
            <w14:solidFill>
              <w14:schemeClr w14:val="tx1"/>
            </w14:solidFill>
          </w14:textFill>
        </w:rPr>
      </w:pPr>
    </w:p>
    <w:p>
      <w:pPr>
        <w:ind w:firstLine="470" w:firstLineChars="196"/>
        <w:rPr>
          <w:rFonts w:ascii="仿宋_GB2312" w:hAnsi="仿宋" w:eastAsia="仿宋_GB2312"/>
          <w:color w:val="000000" w:themeColor="text1"/>
          <w:sz w:val="24"/>
          <w14:textFill>
            <w14:solidFill>
              <w14:schemeClr w14:val="tx1"/>
            </w14:solidFill>
          </w14:textFill>
        </w:rPr>
      </w:pPr>
    </w:p>
    <w:p>
      <w:pP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br w:type="page"/>
      </w:r>
    </w:p>
    <w:p>
      <w:pPr>
        <w:pStyle w:val="3"/>
        <w:adjustRightInd w:val="0"/>
        <w:snapToGrid w:val="0"/>
        <w:spacing w:line="240" w:lineRule="auto"/>
        <w:jc w:val="left"/>
        <w:rPr>
          <w:rFonts w:ascii="仿宋_GB2312" w:hAnsi="仿宋" w:eastAsia="仿宋_GB2312"/>
          <w:color w:val="000000" w:themeColor="text1"/>
          <w:sz w:val="21"/>
          <w:szCs w:val="21"/>
          <w14:textFill>
            <w14:solidFill>
              <w14:schemeClr w14:val="tx1"/>
            </w14:solidFill>
          </w14:textFill>
        </w:rPr>
      </w:pPr>
      <w:bookmarkStart w:id="143" w:name="_Toc372_WPSOffice_Level1"/>
      <w:bookmarkStart w:id="144" w:name="_Toc3044_WPSOffice_Level1"/>
      <w:bookmarkStart w:id="145" w:name="_Toc7342_WPSOffice_Level1"/>
      <w:r>
        <w:rPr>
          <w:rFonts w:hint="eastAsia" w:ascii="仿宋_GB2312" w:hAnsi="仿宋" w:eastAsia="仿宋_GB2312" w:cs="仿宋_GB2312"/>
          <w:color w:val="000000" w:themeColor="text1"/>
          <w:szCs w:val="28"/>
          <w14:textFill>
            <w14:solidFill>
              <w14:schemeClr w14:val="tx1"/>
            </w14:solidFill>
          </w14:textFill>
        </w:rPr>
        <w:t>合同格式</w:t>
      </w:r>
      <w:bookmarkEnd w:id="143"/>
      <w:bookmarkEnd w:id="144"/>
      <w:bookmarkEnd w:id="145"/>
    </w:p>
    <w:p>
      <w:pPr>
        <w:pStyle w:val="2"/>
        <w:snapToGrid w:val="0"/>
        <w:spacing w:before="159" w:beforeLines="50" w:after="159" w:afterLines="50" w:line="360" w:lineRule="auto"/>
        <w:rPr>
          <w:rFonts w:ascii="方正小标宋简体" w:hAnsi="黑体" w:eastAsia="方正小标宋简体" w:cs="仿宋_GB2312"/>
          <w:color w:val="000000" w:themeColor="text1"/>
          <w:sz w:val="36"/>
          <w14:textFill>
            <w14:solidFill>
              <w14:schemeClr w14:val="tx1"/>
            </w14:solidFill>
          </w14:textFill>
        </w:rPr>
      </w:pPr>
      <w:bookmarkStart w:id="146" w:name="_Toc12928"/>
      <w:bookmarkStart w:id="147" w:name="_Toc116291182"/>
      <w:bookmarkStart w:id="148" w:name="_Toc387"/>
      <w:bookmarkStart w:id="149" w:name="_Toc30694"/>
      <w:r>
        <w:rPr>
          <w:rFonts w:hint="eastAsia" w:ascii="方正小标宋简体" w:hAnsi="黑体" w:eastAsia="方正小标宋简体" w:cs="仿宋_GB2312"/>
          <w:color w:val="000000" w:themeColor="text1"/>
          <w:sz w:val="36"/>
          <w14:textFill>
            <w14:solidFill>
              <w14:schemeClr w14:val="tx1"/>
            </w14:solidFill>
          </w14:textFill>
        </w:rPr>
        <w:t>政府采购合同格式</w:t>
      </w:r>
      <w:bookmarkEnd w:id="146"/>
      <w:bookmarkEnd w:id="147"/>
      <w:bookmarkEnd w:id="148"/>
      <w:bookmarkEnd w:id="149"/>
    </w:p>
    <w:p>
      <w:pPr>
        <w:spacing w:line="360" w:lineRule="auto"/>
        <w:ind w:firstLine="420" w:firstLineChars="200"/>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政府采购合同编号：</w:t>
      </w:r>
    </w:p>
    <w:p>
      <w:pPr>
        <w:spacing w:line="360" w:lineRule="auto"/>
        <w:ind w:firstLine="420" w:firstLineChars="200"/>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签订地点：</w:t>
      </w:r>
    </w:p>
    <w:p>
      <w:pPr>
        <w:spacing w:line="360" w:lineRule="auto"/>
        <w:ind w:firstLine="640"/>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u w:val="single"/>
          <w14:textFill>
            <w14:solidFill>
              <w14:schemeClr w14:val="tx1"/>
            </w14:solidFill>
          </w14:textFill>
        </w:rPr>
        <w:t xml:space="preserve">    (需方名称)            </w:t>
      </w:r>
      <w:r>
        <w:rPr>
          <w:rFonts w:hint="eastAsia" w:ascii="仿宋_GB2312" w:hAnsi="仿宋" w:eastAsia="仿宋_GB2312"/>
          <w:color w:val="000000" w:themeColor="text1"/>
          <w:szCs w:val="21"/>
          <w14:textFill>
            <w14:solidFill>
              <w14:schemeClr w14:val="tx1"/>
            </w14:solidFill>
          </w14:textFill>
        </w:rPr>
        <w:t xml:space="preserve"> （以下简称需方）和</w:t>
      </w:r>
      <w:r>
        <w:rPr>
          <w:rFonts w:hint="eastAsia" w:ascii="仿宋_GB2312" w:hAnsi="仿宋" w:eastAsia="仿宋_GB2312"/>
          <w:color w:val="000000" w:themeColor="text1"/>
          <w:szCs w:val="21"/>
          <w:u w:val="single"/>
          <w14:textFill>
            <w14:solidFill>
              <w14:schemeClr w14:val="tx1"/>
            </w14:solidFill>
          </w14:textFill>
        </w:rPr>
        <w:t xml:space="preserve">   (供方名称)    </w:t>
      </w:r>
      <w:r>
        <w:rPr>
          <w:rFonts w:hint="eastAsia" w:ascii="仿宋_GB2312" w:hAnsi="仿宋" w:eastAsia="仿宋_GB2312"/>
          <w:color w:val="000000" w:themeColor="text1"/>
          <w:szCs w:val="21"/>
          <w14:textFill>
            <w14:solidFill>
              <w14:schemeClr w14:val="tx1"/>
            </w14:solidFill>
          </w14:textFill>
        </w:rPr>
        <w:t>（以下简称供方）根据《中华人民共和国民法典》和有关法律法规，遵循平等、自愿、公平和诚实信用原则，同意按照下面的条款和条件订立本政府采购合同，共同信守。</w:t>
      </w:r>
    </w:p>
    <w:p>
      <w:pPr>
        <w:spacing w:line="360" w:lineRule="auto"/>
        <w:jc w:val="left"/>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　　一、政府采购合同文件</w:t>
      </w:r>
    </w:p>
    <w:p>
      <w:pPr>
        <w:spacing w:line="360" w:lineRule="auto"/>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 xml:space="preserve">    本政府采购合同所附下列文件是构成本政府采购合同不可分割的部分：</w:t>
      </w:r>
    </w:p>
    <w:p>
      <w:pPr>
        <w:spacing w:line="360" w:lineRule="auto"/>
        <w:ind w:firstLine="420" w:firstLineChars="200"/>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1.招标文件（招标文件编号</w:t>
      </w:r>
      <w:r>
        <w:rPr>
          <w:rFonts w:hint="eastAsia" w:ascii="仿宋_GB2312" w:hAnsi="仿宋" w:eastAsia="仿宋_GB2312"/>
          <w:color w:val="000000" w:themeColor="text1"/>
          <w:szCs w:val="21"/>
          <w:u w:val="single"/>
          <w14:textFill>
            <w14:solidFill>
              <w14:schemeClr w14:val="tx1"/>
            </w14:solidFill>
          </w14:textFill>
        </w:rPr>
        <w:t xml:space="preserve">           </w:t>
      </w:r>
      <w:r>
        <w:rPr>
          <w:rFonts w:hint="eastAsia" w:ascii="仿宋_GB2312" w:hAnsi="仿宋" w:eastAsia="仿宋_GB2312"/>
          <w:color w:val="000000" w:themeColor="text1"/>
          <w:szCs w:val="21"/>
          <w14:textFill>
            <w14:solidFill>
              <w14:schemeClr w14:val="tx1"/>
            </w14:solidFill>
          </w14:textFill>
        </w:rPr>
        <w:t>）；</w:t>
      </w:r>
    </w:p>
    <w:p>
      <w:pPr>
        <w:spacing w:line="360" w:lineRule="auto"/>
        <w:ind w:firstLine="420" w:firstLineChars="200"/>
        <w:jc w:val="left"/>
        <w:rPr>
          <w:rFonts w:ascii="仿宋_GB2312" w:hAnsi="仿宋" w:eastAsia="仿宋_GB2312" w:cs="Arial"/>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w:t>
      </w:r>
      <w:r>
        <w:rPr>
          <w:rFonts w:hint="eastAsia" w:ascii="仿宋_GB2312" w:hAnsi="仿宋" w:eastAsia="仿宋_GB2312" w:cs="Arial"/>
          <w:color w:val="000000" w:themeColor="text1"/>
          <w:szCs w:val="21"/>
          <w14:textFill>
            <w14:solidFill>
              <w14:schemeClr w14:val="tx1"/>
            </w14:solidFill>
          </w14:textFill>
        </w:rPr>
        <w:t>招标文件的更正公告、变更公告；</w:t>
      </w:r>
    </w:p>
    <w:p>
      <w:pPr>
        <w:spacing w:line="360" w:lineRule="auto"/>
        <w:ind w:firstLine="420" w:firstLineChars="200"/>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3.中标供应商提交的投标文件；</w:t>
      </w:r>
    </w:p>
    <w:p>
      <w:pPr>
        <w:spacing w:line="360" w:lineRule="auto"/>
        <w:ind w:firstLine="420" w:firstLineChars="200"/>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4.政府采购合同条款；</w:t>
      </w:r>
    </w:p>
    <w:p>
      <w:pPr>
        <w:spacing w:line="360" w:lineRule="auto"/>
        <w:ind w:firstLine="420" w:firstLineChars="200"/>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5.中标通知书；</w:t>
      </w:r>
    </w:p>
    <w:p>
      <w:pPr>
        <w:spacing w:line="360" w:lineRule="auto"/>
        <w:ind w:firstLine="420" w:firstLineChars="200"/>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6.</w:t>
      </w:r>
      <w:r>
        <w:rPr>
          <w:rFonts w:hint="eastAsia" w:ascii="仿宋_GB2312" w:hAnsi="仿宋" w:eastAsia="仿宋_GB2312" w:cs="Arial"/>
          <w:color w:val="000000" w:themeColor="text1"/>
          <w:szCs w:val="21"/>
          <w14:textFill>
            <w14:solidFill>
              <w14:schemeClr w14:val="tx1"/>
            </w14:solidFill>
          </w14:textFill>
        </w:rPr>
        <w:t>政府采购合同的其它附件。</w:t>
      </w:r>
    </w:p>
    <w:p>
      <w:pPr>
        <w:spacing w:line="360" w:lineRule="auto"/>
        <w:jc w:val="left"/>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　　二、政府采购合同范围和条件</w:t>
      </w:r>
    </w:p>
    <w:p>
      <w:pPr>
        <w:spacing w:line="360" w:lineRule="auto"/>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 xml:space="preserve">    本政府采购合同的范围和条件与上述政府采购合同文件的规定相一致。</w:t>
      </w:r>
    </w:p>
    <w:p>
      <w:pPr>
        <w:spacing w:line="360" w:lineRule="auto"/>
        <w:jc w:val="left"/>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　　三、政府采购合同标的</w:t>
      </w:r>
    </w:p>
    <w:p>
      <w:pPr>
        <w:spacing w:line="360" w:lineRule="auto"/>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 xml:space="preserve">    </w:t>
      </w:r>
      <w:r>
        <w:rPr>
          <w:rFonts w:hint="eastAsia" w:ascii="仿宋_GB2312" w:hAnsi="仿宋" w:eastAsia="仿宋_GB2312" w:cs="仿宋_GB2312"/>
          <w:color w:val="000000" w:themeColor="text1"/>
          <w:szCs w:val="21"/>
          <w14:textFill>
            <w14:solidFill>
              <w14:schemeClr w14:val="tx1"/>
            </w14:solidFill>
          </w14:textFill>
        </w:rPr>
        <w:t>本政府采购合同的标的为招标文件中所列相关服务。</w:t>
      </w:r>
    </w:p>
    <w:p>
      <w:pPr>
        <w:spacing w:line="360" w:lineRule="auto"/>
        <w:jc w:val="left"/>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　　四、政府采购合同金额</w:t>
      </w:r>
    </w:p>
    <w:p>
      <w:pPr>
        <w:spacing w:line="360" w:lineRule="auto"/>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 xml:space="preserve">    根据上述政府采购合同文件要求，政府采购合同的总金额为人民币</w:t>
      </w:r>
      <w:r>
        <w:rPr>
          <w:rFonts w:hint="eastAsia" w:ascii="仿宋_GB2312" w:hAnsi="仿宋" w:eastAsia="仿宋_GB2312"/>
          <w:color w:val="000000" w:themeColor="text1"/>
          <w:szCs w:val="21"/>
          <w:u w:val="single"/>
          <w14:textFill>
            <w14:solidFill>
              <w14:schemeClr w14:val="tx1"/>
            </w14:solidFill>
          </w14:textFill>
        </w:rPr>
        <w:t xml:space="preserve">  （大写）                </w:t>
      </w:r>
      <w:r>
        <w:rPr>
          <w:rFonts w:hint="eastAsia" w:ascii="仿宋_GB2312" w:hAnsi="仿宋" w:eastAsia="仿宋_GB2312"/>
          <w:color w:val="000000" w:themeColor="text1"/>
          <w:szCs w:val="21"/>
          <w14:textFill>
            <w14:solidFill>
              <w14:schemeClr w14:val="tx1"/>
            </w14:solidFill>
          </w14:textFill>
        </w:rPr>
        <w:t xml:space="preserve"> 元。</w:t>
      </w:r>
    </w:p>
    <w:p>
      <w:pPr>
        <w:spacing w:line="360" w:lineRule="auto"/>
        <w:jc w:val="left"/>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　  五、付款方式及条件</w:t>
      </w:r>
    </w:p>
    <w:p>
      <w:pPr>
        <w:spacing w:line="360" w:lineRule="auto"/>
        <w:jc w:val="left"/>
        <w:rPr>
          <w:rFonts w:ascii="仿宋_GB2312" w:hAnsi="仿宋" w:eastAsia="仿宋_GB2312"/>
          <w:b/>
          <w:color w:val="000000" w:themeColor="text1"/>
          <w:szCs w:val="21"/>
          <w14:textFill>
            <w14:solidFill>
              <w14:schemeClr w14:val="tx1"/>
            </w14:solidFill>
          </w14:textFill>
        </w:rPr>
      </w:pPr>
    </w:p>
    <w:p>
      <w:pPr>
        <w:spacing w:line="360" w:lineRule="auto"/>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　　六、服务时间和服务地点</w:t>
      </w:r>
      <w:r>
        <w:rPr>
          <w:rFonts w:hint="eastAsia" w:ascii="仿宋_GB2312" w:hAnsi="仿宋" w:eastAsia="仿宋_GB2312"/>
          <w:color w:val="000000" w:themeColor="text1"/>
          <w:szCs w:val="21"/>
          <w14:textFill>
            <w14:solidFill>
              <w14:schemeClr w14:val="tx1"/>
            </w14:solidFill>
          </w14:textFill>
        </w:rPr>
        <w:t xml:space="preserve">   </w:t>
      </w:r>
    </w:p>
    <w:p>
      <w:pPr>
        <w:spacing w:line="360" w:lineRule="auto"/>
        <w:jc w:val="left"/>
        <w:rPr>
          <w:rFonts w:ascii="仿宋_GB2312" w:hAnsi="仿宋" w:eastAsia="仿宋_GB2312"/>
          <w:color w:val="000000" w:themeColor="text1"/>
          <w:szCs w:val="21"/>
          <w:u w:val="single"/>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 xml:space="preserve">    1.服务时间：</w:t>
      </w:r>
      <w:r>
        <w:rPr>
          <w:rFonts w:hint="eastAsia" w:ascii="仿宋_GB2312" w:hAnsi="仿宋" w:eastAsia="仿宋_GB2312"/>
          <w:color w:val="000000" w:themeColor="text1"/>
          <w:szCs w:val="21"/>
          <w:u w:val="single"/>
          <w14:textFill>
            <w14:solidFill>
              <w14:schemeClr w14:val="tx1"/>
            </w14:solidFill>
          </w14:textFill>
        </w:rPr>
        <w:t xml:space="preserve">        </w:t>
      </w:r>
    </w:p>
    <w:p>
      <w:pPr>
        <w:spacing w:line="360" w:lineRule="auto"/>
        <w:jc w:val="left"/>
        <w:rPr>
          <w:rFonts w:ascii="仿宋_GB2312" w:hAnsi="仿宋" w:eastAsia="仿宋_GB2312"/>
          <w:color w:val="000000" w:themeColor="text1"/>
          <w:szCs w:val="21"/>
          <w:u w:val="single"/>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 xml:space="preserve">    2.服务地点：</w:t>
      </w:r>
      <w:r>
        <w:rPr>
          <w:rFonts w:hint="eastAsia" w:ascii="仿宋_GB2312" w:hAnsi="仿宋" w:eastAsia="仿宋_GB2312"/>
          <w:color w:val="000000" w:themeColor="text1"/>
          <w:szCs w:val="21"/>
          <w:u w:val="single"/>
          <w14:textFill>
            <w14:solidFill>
              <w14:schemeClr w14:val="tx1"/>
            </w14:solidFill>
          </w14:textFill>
        </w:rPr>
        <w:t xml:space="preserve">        </w:t>
      </w:r>
    </w:p>
    <w:p>
      <w:pPr>
        <w:spacing w:line="360" w:lineRule="auto"/>
        <w:jc w:val="left"/>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　　七、验收要求</w:t>
      </w:r>
    </w:p>
    <w:p>
      <w:pPr>
        <w:spacing w:line="360" w:lineRule="auto"/>
        <w:jc w:val="left"/>
        <w:rPr>
          <w:rFonts w:ascii="仿宋_GB2312" w:hAnsi="仿宋" w:eastAsia="仿宋_GB2312"/>
          <w:color w:val="000000" w:themeColor="text1"/>
          <w:szCs w:val="21"/>
          <w:u w:val="single"/>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 xml:space="preserve">    </w:t>
      </w:r>
      <w:r>
        <w:rPr>
          <w:rFonts w:hint="eastAsia" w:ascii="仿宋_GB2312" w:hAnsi="仿宋" w:eastAsia="仿宋_GB2312"/>
          <w:color w:val="000000" w:themeColor="text1"/>
          <w:szCs w:val="21"/>
          <w14:textFill>
            <w14:solidFill>
              <w14:schemeClr w14:val="tx1"/>
            </w14:solidFill>
          </w14:textFill>
        </w:rPr>
        <w:t>供方完全履行合同义务后，需方或需方的最终用户按照上述政府采购合同文件列明的标准进行验收，验收不合格的，供方需按照第八条的约定承担相应违约责任。</w:t>
      </w:r>
    </w:p>
    <w:p>
      <w:pPr>
        <w:spacing w:line="360" w:lineRule="auto"/>
        <w:jc w:val="left"/>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 xml:space="preserve">    八、违约责任</w:t>
      </w:r>
    </w:p>
    <w:p>
      <w:pPr>
        <w:spacing w:line="360" w:lineRule="auto"/>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 xml:space="preserve">    1.供方逾期提供服务的，每逾期一天向需方支付合同金额</w:t>
      </w:r>
      <w:r>
        <w:rPr>
          <w:rFonts w:hint="eastAsia" w:ascii="仿宋_GB2312" w:hAnsi="仿宋" w:eastAsia="仿宋_GB2312"/>
          <w:color w:val="000000" w:themeColor="text1"/>
          <w:szCs w:val="21"/>
          <w:u w:val="single"/>
          <w14:textFill>
            <w14:solidFill>
              <w14:schemeClr w14:val="tx1"/>
            </w14:solidFill>
          </w14:textFill>
        </w:rPr>
        <w:t xml:space="preserve">  </w:t>
      </w:r>
      <w:r>
        <w:rPr>
          <w:rFonts w:hint="eastAsia" w:ascii="仿宋_GB2312" w:hAnsi="仿宋" w:eastAsia="仿宋_GB2312"/>
          <w:color w:val="000000" w:themeColor="text1"/>
          <w:szCs w:val="21"/>
          <w14:textFill>
            <w14:solidFill>
              <w14:schemeClr w14:val="tx1"/>
            </w14:solidFill>
          </w14:textFill>
        </w:rPr>
        <w:t>%的违约金，逾期</w:t>
      </w:r>
      <w:r>
        <w:rPr>
          <w:rFonts w:hint="eastAsia" w:ascii="仿宋_GB2312" w:hAnsi="仿宋" w:eastAsia="仿宋_GB2312"/>
          <w:color w:val="000000" w:themeColor="text1"/>
          <w:szCs w:val="21"/>
          <w:u w:val="single"/>
          <w14:textFill>
            <w14:solidFill>
              <w14:schemeClr w14:val="tx1"/>
            </w14:solidFill>
          </w14:textFill>
        </w:rPr>
        <w:t xml:space="preserve">  </w:t>
      </w:r>
      <w:r>
        <w:rPr>
          <w:rFonts w:hint="eastAsia" w:ascii="仿宋_GB2312" w:hAnsi="仿宋" w:eastAsia="仿宋_GB2312"/>
          <w:color w:val="000000" w:themeColor="text1"/>
          <w:szCs w:val="21"/>
          <w14:textFill>
            <w14:solidFill>
              <w14:schemeClr w14:val="tx1"/>
            </w14:solidFill>
          </w14:textFill>
        </w:rPr>
        <w:t>日的，需方有权单方面解除本协议。</w:t>
      </w:r>
    </w:p>
    <w:p>
      <w:pPr>
        <w:spacing w:line="360" w:lineRule="auto"/>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 xml:space="preserve">    2.供方提供的服务不符合约定的，需方有权向供方书面提出整改意见，供方需无条件整改至符合约定，自需方向供方提出书面意见之日起</w:t>
      </w:r>
      <w:r>
        <w:rPr>
          <w:rFonts w:hint="eastAsia" w:ascii="仿宋_GB2312" w:hAnsi="仿宋" w:eastAsia="仿宋_GB2312"/>
          <w:color w:val="000000" w:themeColor="text1"/>
          <w:szCs w:val="21"/>
          <w:u w:val="single"/>
          <w14:textFill>
            <w14:solidFill>
              <w14:schemeClr w14:val="tx1"/>
            </w14:solidFill>
          </w14:textFill>
        </w:rPr>
        <w:t xml:space="preserve">  </w:t>
      </w:r>
      <w:r>
        <w:rPr>
          <w:rFonts w:hint="eastAsia" w:ascii="仿宋_GB2312" w:hAnsi="仿宋" w:eastAsia="仿宋_GB2312"/>
          <w:color w:val="000000" w:themeColor="text1"/>
          <w:szCs w:val="21"/>
          <w14:textFill>
            <w14:solidFill>
              <w14:schemeClr w14:val="tx1"/>
            </w14:solidFill>
          </w14:textFill>
        </w:rPr>
        <w:t>日内，供方仍未整改或整改后服务仍不符合约定的，需方有权单方面解除本协议。</w:t>
      </w:r>
    </w:p>
    <w:p>
      <w:pPr>
        <w:spacing w:line="360" w:lineRule="auto"/>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 xml:space="preserve">    3.需方逾期付款的，每逾期一天向供方支付逾期金额</w:t>
      </w:r>
      <w:r>
        <w:rPr>
          <w:rFonts w:hint="eastAsia" w:ascii="仿宋_GB2312" w:hAnsi="仿宋" w:eastAsia="仿宋_GB2312"/>
          <w:color w:val="000000" w:themeColor="text1"/>
          <w:szCs w:val="21"/>
          <w:u w:val="single"/>
          <w14:textFill>
            <w14:solidFill>
              <w14:schemeClr w14:val="tx1"/>
            </w14:solidFill>
          </w14:textFill>
        </w:rPr>
        <w:t xml:space="preserve">  </w:t>
      </w:r>
      <w:r>
        <w:rPr>
          <w:rFonts w:hint="eastAsia" w:ascii="仿宋_GB2312" w:hAnsi="仿宋" w:eastAsia="仿宋_GB2312"/>
          <w:color w:val="000000" w:themeColor="text1"/>
          <w:szCs w:val="21"/>
          <w14:textFill>
            <w14:solidFill>
              <w14:schemeClr w14:val="tx1"/>
            </w14:solidFill>
          </w14:textFill>
        </w:rPr>
        <w:t>%的违约金，逾期</w:t>
      </w:r>
      <w:r>
        <w:rPr>
          <w:rFonts w:hint="eastAsia" w:ascii="仿宋_GB2312" w:hAnsi="仿宋" w:eastAsia="仿宋_GB2312"/>
          <w:color w:val="000000" w:themeColor="text1"/>
          <w:szCs w:val="21"/>
          <w:u w:val="single"/>
          <w14:textFill>
            <w14:solidFill>
              <w14:schemeClr w14:val="tx1"/>
            </w14:solidFill>
          </w14:textFill>
        </w:rPr>
        <w:t xml:space="preserve">  </w:t>
      </w:r>
      <w:r>
        <w:rPr>
          <w:rFonts w:hint="eastAsia" w:ascii="仿宋_GB2312" w:hAnsi="仿宋" w:eastAsia="仿宋_GB2312"/>
          <w:color w:val="000000" w:themeColor="text1"/>
          <w:szCs w:val="21"/>
          <w14:textFill>
            <w14:solidFill>
              <w14:schemeClr w14:val="tx1"/>
            </w14:solidFill>
          </w14:textFill>
        </w:rPr>
        <w:t>日的，供方有权单方面解除本协议。</w:t>
      </w:r>
    </w:p>
    <w:p>
      <w:pPr>
        <w:spacing w:line="360" w:lineRule="auto"/>
        <w:jc w:val="left"/>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 xml:space="preserve">    九、争议解决</w:t>
      </w:r>
    </w:p>
    <w:p>
      <w:pPr>
        <w:spacing w:line="360" w:lineRule="auto"/>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 xml:space="preserve">    双方因履行本协议而产生的争议，应友好协商解决，协商不成的，任何一方可向需方所在地的人民法院提起诉讼。</w:t>
      </w:r>
    </w:p>
    <w:p>
      <w:pPr>
        <w:spacing w:line="360" w:lineRule="auto"/>
        <w:jc w:val="left"/>
        <w:rPr>
          <w:rFonts w:ascii="仿宋_GB2312" w:hAnsi="仿宋" w:eastAsia="仿宋_GB2312"/>
          <w:b/>
          <w:color w:val="000000" w:themeColor="text1"/>
          <w:szCs w:val="21"/>
          <w14:textFill>
            <w14:solidFill>
              <w14:schemeClr w14:val="tx1"/>
            </w14:solidFill>
          </w14:textFill>
        </w:rPr>
      </w:pPr>
      <w:r>
        <w:rPr>
          <w:rFonts w:hint="eastAsia" w:ascii="仿宋_GB2312" w:hAnsi="仿宋" w:eastAsia="仿宋_GB2312"/>
          <w:b/>
          <w:color w:val="000000" w:themeColor="text1"/>
          <w:szCs w:val="21"/>
          <w14:textFill>
            <w14:solidFill>
              <w14:schemeClr w14:val="tx1"/>
            </w14:solidFill>
          </w14:textFill>
        </w:rPr>
        <w:t xml:space="preserve">    十、合同生效</w:t>
      </w:r>
    </w:p>
    <w:p>
      <w:pPr>
        <w:spacing w:line="360" w:lineRule="auto"/>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 xml:space="preserve">    本政府采购合同经双方授权代表签字盖章后生效。</w:t>
      </w:r>
    </w:p>
    <w:p>
      <w:pPr>
        <w:spacing w:line="360" w:lineRule="auto"/>
        <w:ind w:firstLine="420" w:firstLineChars="200"/>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 xml:space="preserve">需  方（公章）:                       供 </w:t>
      </w:r>
      <w:r>
        <w:rPr>
          <w:rFonts w:ascii="仿宋_GB2312" w:hAnsi="仿宋" w:eastAsia="仿宋_GB2312"/>
          <w:color w:val="000000" w:themeColor="text1"/>
          <w:szCs w:val="21"/>
          <w14:textFill>
            <w14:solidFill>
              <w14:schemeClr w14:val="tx1"/>
            </w14:solidFill>
          </w14:textFill>
        </w:rPr>
        <w:t xml:space="preserve"> </w:t>
      </w:r>
      <w:r>
        <w:rPr>
          <w:rFonts w:hint="eastAsia" w:ascii="仿宋_GB2312" w:hAnsi="仿宋" w:eastAsia="仿宋_GB2312"/>
          <w:color w:val="000000" w:themeColor="text1"/>
          <w:szCs w:val="21"/>
          <w14:textFill>
            <w14:solidFill>
              <w14:schemeClr w14:val="tx1"/>
            </w14:solidFill>
          </w14:textFill>
        </w:rPr>
        <w:t>方(公章):</w:t>
      </w:r>
    </w:p>
    <w:p>
      <w:pPr>
        <w:spacing w:line="360" w:lineRule="auto"/>
        <w:ind w:firstLine="420" w:firstLineChars="200"/>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法定代表人或授权代表人(签字):         法定代表人或授权代表人(签字):</w:t>
      </w:r>
    </w:p>
    <w:p>
      <w:pPr>
        <w:spacing w:line="360" w:lineRule="auto"/>
        <w:ind w:firstLine="420" w:firstLineChars="200"/>
        <w:rPr>
          <w:rFonts w:ascii="仿宋_GB2312" w:hAnsi="仿宋" w:eastAsia="仿宋_GB2312" w:cs="Lucida Sans Unicode"/>
          <w:color w:val="000000" w:themeColor="text1"/>
          <w:szCs w:val="21"/>
          <w:u w:val="single"/>
          <w14:textFill>
            <w14:solidFill>
              <w14:schemeClr w14:val="tx1"/>
            </w14:solidFill>
          </w14:textFill>
        </w:rPr>
      </w:pPr>
      <w:r>
        <w:rPr>
          <w:rFonts w:hint="eastAsia" w:ascii="仿宋_GB2312" w:hAnsi="仿宋" w:eastAsia="仿宋_GB2312" w:cs="Lucida Sans Unicode"/>
          <w:color w:val="000000" w:themeColor="text1"/>
          <w:szCs w:val="21"/>
          <w14:textFill>
            <w14:solidFill>
              <w14:schemeClr w14:val="tx1"/>
            </w14:solidFill>
          </w14:textFill>
        </w:rPr>
        <w:t xml:space="preserve">地 </w:t>
      </w:r>
      <w:r>
        <w:rPr>
          <w:rFonts w:ascii="仿宋_GB2312" w:hAnsi="仿宋" w:eastAsia="仿宋_GB2312" w:cs="Lucida Sans Unicode"/>
          <w:color w:val="000000" w:themeColor="text1"/>
          <w:szCs w:val="21"/>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址：</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 xml:space="preserve">      地 </w:t>
      </w:r>
      <w:r>
        <w:rPr>
          <w:rFonts w:ascii="仿宋_GB2312" w:hAnsi="仿宋" w:eastAsia="仿宋_GB2312" w:cs="Lucida Sans Unicode"/>
          <w:color w:val="000000" w:themeColor="text1"/>
          <w:szCs w:val="21"/>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址：</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r>
        <w:rPr>
          <w:rFonts w:ascii="仿宋_GB2312" w:hAnsi="仿宋" w:eastAsia="仿宋_GB2312" w:cs="Lucida Sans Unicode"/>
          <w:color w:val="000000" w:themeColor="text1"/>
          <w:szCs w:val="21"/>
          <w:u w:val="single"/>
          <w14:textFill>
            <w14:solidFill>
              <w14:schemeClr w14:val="tx1"/>
            </w14:solidFill>
          </w14:textFill>
        </w:rPr>
        <w:t xml:space="preserve"> </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p>
    <w:p>
      <w:pPr>
        <w:spacing w:line="360" w:lineRule="auto"/>
        <w:ind w:firstLine="420" w:firstLineChars="200"/>
        <w:rPr>
          <w:rFonts w:ascii="仿宋_GB2312" w:hAnsi="仿宋" w:eastAsia="仿宋_GB2312" w:cs="Lucida Sans Unicode"/>
          <w:color w:val="000000" w:themeColor="text1"/>
          <w:szCs w:val="21"/>
          <w14:textFill>
            <w14:solidFill>
              <w14:schemeClr w14:val="tx1"/>
            </w14:solidFill>
          </w14:textFill>
        </w:rPr>
      </w:pPr>
      <w:r>
        <w:rPr>
          <w:rFonts w:hint="eastAsia" w:ascii="仿宋_GB2312" w:hAnsi="仿宋" w:eastAsia="仿宋_GB2312" w:cs="Lucida Sans Unicode"/>
          <w:color w:val="000000" w:themeColor="text1"/>
          <w:szCs w:val="21"/>
          <w14:textFill>
            <w14:solidFill>
              <w14:schemeClr w14:val="tx1"/>
            </w14:solidFill>
          </w14:textFill>
        </w:rPr>
        <w:t>联系人：</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r>
        <w:rPr>
          <w:rFonts w:ascii="仿宋_GB2312" w:hAnsi="仿宋" w:eastAsia="仿宋_GB2312" w:cs="Lucida Sans Unicode"/>
          <w:color w:val="000000" w:themeColor="text1"/>
          <w:szCs w:val="21"/>
          <w:u w:val="single"/>
          <w14:textFill>
            <w14:solidFill>
              <w14:schemeClr w14:val="tx1"/>
            </w14:solidFill>
          </w14:textFill>
        </w:rPr>
        <w:t xml:space="preserve">  </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 xml:space="preserve">     </w:t>
      </w:r>
      <w:r>
        <w:rPr>
          <w:rFonts w:ascii="仿宋_GB2312" w:hAnsi="仿宋" w:eastAsia="仿宋_GB2312" w:cs="Lucida Sans Unicode"/>
          <w:color w:val="000000" w:themeColor="text1"/>
          <w:szCs w:val="21"/>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联系人：</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r>
        <w:rPr>
          <w:rFonts w:ascii="仿宋_GB2312" w:hAnsi="仿宋" w:eastAsia="仿宋_GB2312" w:cs="Lucida Sans Unicode"/>
          <w:color w:val="000000" w:themeColor="text1"/>
          <w:szCs w:val="21"/>
          <w:u w:val="single"/>
          <w14:textFill>
            <w14:solidFill>
              <w14:schemeClr w14:val="tx1"/>
            </w14:solidFill>
          </w14:textFill>
        </w:rPr>
        <w:t xml:space="preserve">  </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p>
    <w:p>
      <w:pPr>
        <w:spacing w:line="360" w:lineRule="auto"/>
        <w:ind w:firstLine="420" w:firstLineChars="200"/>
        <w:rPr>
          <w:rFonts w:ascii="仿宋_GB2312" w:hAnsi="仿宋" w:eastAsia="仿宋_GB2312" w:cs="Lucida Sans Unicode"/>
          <w:color w:val="000000" w:themeColor="text1"/>
          <w:szCs w:val="21"/>
          <w:u w:val="single"/>
          <w14:textFill>
            <w14:solidFill>
              <w14:schemeClr w14:val="tx1"/>
            </w14:solidFill>
          </w14:textFill>
        </w:rPr>
      </w:pPr>
      <w:r>
        <w:rPr>
          <w:rFonts w:hint="eastAsia" w:ascii="仿宋_GB2312" w:hAnsi="仿宋" w:eastAsia="仿宋_GB2312" w:cs="Lucida Sans Unicode"/>
          <w:color w:val="000000" w:themeColor="text1"/>
          <w:szCs w:val="21"/>
          <w14:textFill>
            <w14:solidFill>
              <w14:schemeClr w14:val="tx1"/>
            </w14:solidFill>
          </w14:textFill>
        </w:rPr>
        <w:t xml:space="preserve">电 </w:t>
      </w:r>
      <w:r>
        <w:rPr>
          <w:rFonts w:ascii="仿宋_GB2312" w:hAnsi="仿宋" w:eastAsia="仿宋_GB2312" w:cs="Lucida Sans Unicode"/>
          <w:color w:val="000000" w:themeColor="text1"/>
          <w:szCs w:val="21"/>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话：</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 xml:space="preserve">      电 </w:t>
      </w:r>
      <w:r>
        <w:rPr>
          <w:rFonts w:ascii="仿宋_GB2312" w:hAnsi="仿宋" w:eastAsia="仿宋_GB2312" w:cs="Lucida Sans Unicode"/>
          <w:color w:val="000000" w:themeColor="text1"/>
          <w:szCs w:val="21"/>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话：</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p>
    <w:p>
      <w:pPr>
        <w:spacing w:line="360" w:lineRule="auto"/>
        <w:ind w:firstLine="420" w:firstLineChars="200"/>
        <w:rPr>
          <w:rFonts w:ascii="仿宋_GB2312" w:hAnsi="仿宋" w:eastAsia="仿宋_GB2312" w:cs="Lucida Sans Unicode"/>
          <w:color w:val="000000" w:themeColor="text1"/>
          <w:szCs w:val="21"/>
          <w:u w:val="single"/>
          <w14:textFill>
            <w14:solidFill>
              <w14:schemeClr w14:val="tx1"/>
            </w14:solidFill>
          </w14:textFill>
        </w:rPr>
      </w:pPr>
      <w:r>
        <w:rPr>
          <w:rFonts w:hint="eastAsia" w:ascii="仿宋_GB2312" w:hAnsi="仿宋" w:eastAsia="仿宋_GB2312" w:cs="Lucida Sans Unicode"/>
          <w:color w:val="000000" w:themeColor="text1"/>
          <w:szCs w:val="21"/>
          <w14:textFill>
            <w14:solidFill>
              <w14:schemeClr w14:val="tx1"/>
            </w14:solidFill>
          </w14:textFill>
        </w:rPr>
        <w:t xml:space="preserve">传 </w:t>
      </w:r>
      <w:r>
        <w:rPr>
          <w:rFonts w:ascii="仿宋_GB2312" w:hAnsi="仿宋" w:eastAsia="仿宋_GB2312" w:cs="Lucida Sans Unicode"/>
          <w:color w:val="000000" w:themeColor="text1"/>
          <w:szCs w:val="21"/>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真：</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 xml:space="preserve">      传 </w:t>
      </w:r>
      <w:r>
        <w:rPr>
          <w:rFonts w:ascii="仿宋_GB2312" w:hAnsi="仿宋" w:eastAsia="仿宋_GB2312" w:cs="Lucida Sans Unicode"/>
          <w:color w:val="000000" w:themeColor="text1"/>
          <w:szCs w:val="21"/>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真：</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p>
    <w:p>
      <w:pPr>
        <w:spacing w:line="360" w:lineRule="auto"/>
        <w:ind w:firstLine="420" w:firstLineChars="200"/>
        <w:rPr>
          <w:rFonts w:ascii="仿宋_GB2312" w:hAnsi="仿宋" w:eastAsia="仿宋_GB2312" w:cs="Lucida Sans Unicode"/>
          <w:color w:val="000000" w:themeColor="text1"/>
          <w:szCs w:val="21"/>
          <w:u w:val="single"/>
          <w14:textFill>
            <w14:solidFill>
              <w14:schemeClr w14:val="tx1"/>
            </w14:solidFill>
          </w14:textFill>
        </w:rPr>
      </w:pPr>
      <w:r>
        <w:rPr>
          <w:rFonts w:hint="eastAsia" w:ascii="仿宋_GB2312" w:hAnsi="仿宋" w:eastAsia="仿宋_GB2312" w:cs="Lucida Sans Unicode"/>
          <w:color w:val="000000" w:themeColor="text1"/>
          <w:szCs w:val="21"/>
          <w14:textFill>
            <w14:solidFill>
              <w14:schemeClr w14:val="tx1"/>
            </w14:solidFill>
          </w14:textFill>
        </w:rPr>
        <w:t xml:space="preserve">邮 </w:t>
      </w:r>
      <w:r>
        <w:rPr>
          <w:rFonts w:ascii="仿宋_GB2312" w:hAnsi="仿宋" w:eastAsia="仿宋_GB2312" w:cs="Lucida Sans Unicode"/>
          <w:color w:val="000000" w:themeColor="text1"/>
          <w:szCs w:val="21"/>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编：</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 xml:space="preserve">      邮 </w:t>
      </w:r>
      <w:r>
        <w:rPr>
          <w:rFonts w:ascii="仿宋_GB2312" w:hAnsi="仿宋" w:eastAsia="仿宋_GB2312" w:cs="Lucida Sans Unicode"/>
          <w:color w:val="000000" w:themeColor="text1"/>
          <w:szCs w:val="21"/>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编：</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p>
    <w:p>
      <w:pPr>
        <w:spacing w:line="360" w:lineRule="auto"/>
        <w:ind w:firstLine="420" w:firstLineChars="200"/>
        <w:rPr>
          <w:rFonts w:ascii="仿宋_GB2312" w:hAnsi="仿宋" w:eastAsia="仿宋_GB2312" w:cs="Lucida Sans Unicode"/>
          <w:color w:val="000000" w:themeColor="text1"/>
          <w:szCs w:val="21"/>
          <w:u w:val="single"/>
          <w14:textFill>
            <w14:solidFill>
              <w14:schemeClr w14:val="tx1"/>
            </w14:solidFill>
          </w14:textFill>
        </w:rPr>
      </w:pPr>
      <w:r>
        <w:rPr>
          <w:rFonts w:hint="eastAsia" w:ascii="仿宋_GB2312" w:hAnsi="仿宋" w:eastAsia="仿宋_GB2312" w:cs="Lucida Sans Unicode"/>
          <w:color w:val="000000" w:themeColor="text1"/>
          <w:szCs w:val="21"/>
          <w14:textFill>
            <w14:solidFill>
              <w14:schemeClr w14:val="tx1"/>
            </w14:solidFill>
          </w14:textFill>
        </w:rPr>
        <w:t xml:space="preserve">日 </w:t>
      </w:r>
      <w:r>
        <w:rPr>
          <w:rFonts w:ascii="仿宋_GB2312" w:hAnsi="仿宋" w:eastAsia="仿宋_GB2312" w:cs="Lucida Sans Unicode"/>
          <w:color w:val="000000" w:themeColor="text1"/>
          <w:szCs w:val="21"/>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期：</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r>
        <w:rPr>
          <w:rFonts w:ascii="仿宋_GB2312" w:hAnsi="仿宋" w:eastAsia="仿宋_GB2312" w:cs="Lucida Sans Unicode"/>
          <w:color w:val="000000" w:themeColor="text1"/>
          <w:szCs w:val="21"/>
          <w:u w:val="single"/>
          <w14:textFill>
            <w14:solidFill>
              <w14:schemeClr w14:val="tx1"/>
            </w14:solidFill>
          </w14:textFill>
        </w:rPr>
        <w:t xml:space="preserve"> </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年</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月</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 xml:space="preserve">日      日 </w:t>
      </w:r>
      <w:r>
        <w:rPr>
          <w:rFonts w:ascii="仿宋_GB2312" w:hAnsi="仿宋" w:eastAsia="仿宋_GB2312" w:cs="Lucida Sans Unicode"/>
          <w:color w:val="000000" w:themeColor="text1"/>
          <w:szCs w:val="21"/>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期：</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年</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r>
        <w:rPr>
          <w:rFonts w:ascii="仿宋_GB2312" w:hAnsi="仿宋" w:eastAsia="仿宋_GB2312" w:cs="Lucida Sans Unicode"/>
          <w:color w:val="000000" w:themeColor="text1"/>
          <w:szCs w:val="21"/>
          <w:u w:val="single"/>
          <w14:textFill>
            <w14:solidFill>
              <w14:schemeClr w14:val="tx1"/>
            </w14:solidFill>
          </w14:textFill>
        </w:rPr>
        <w:t xml:space="preserve"> </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月</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r>
        <w:rPr>
          <w:rFonts w:ascii="仿宋_GB2312" w:hAnsi="仿宋" w:eastAsia="仿宋_GB2312" w:cs="Lucida Sans Unicode"/>
          <w:color w:val="000000" w:themeColor="text1"/>
          <w:szCs w:val="21"/>
          <w:u w:val="single"/>
          <w14:textFill>
            <w14:solidFill>
              <w14:schemeClr w14:val="tx1"/>
            </w14:solidFill>
          </w14:textFill>
        </w:rPr>
        <w:t xml:space="preserve">  </w:t>
      </w:r>
      <w:r>
        <w:rPr>
          <w:rFonts w:hint="eastAsia" w:ascii="仿宋_GB2312" w:hAnsi="仿宋" w:eastAsia="仿宋_GB2312" w:cs="Lucida Sans Unicode"/>
          <w:color w:val="000000" w:themeColor="text1"/>
          <w:szCs w:val="21"/>
          <w:u w:val="single"/>
          <w14:textFill>
            <w14:solidFill>
              <w14:schemeClr w14:val="tx1"/>
            </w14:solidFill>
          </w14:textFill>
        </w:rPr>
        <w:t xml:space="preserve"> </w:t>
      </w:r>
      <w:r>
        <w:rPr>
          <w:rFonts w:hint="eastAsia" w:ascii="仿宋_GB2312" w:hAnsi="仿宋" w:eastAsia="仿宋_GB2312" w:cs="Lucida Sans Unicode"/>
          <w:color w:val="000000" w:themeColor="text1"/>
          <w:szCs w:val="21"/>
          <w14:textFill>
            <w14:solidFill>
              <w14:schemeClr w14:val="tx1"/>
            </w14:solidFill>
          </w14:textFill>
        </w:rPr>
        <w:t>日</w:t>
      </w:r>
    </w:p>
    <w:p>
      <w:pPr>
        <w:rPr>
          <w:rFonts w:ascii="仿宋" w:hAnsi="仿宋"/>
          <w:color w:val="000000" w:themeColor="text1"/>
          <w14:textFill>
            <w14:solidFill>
              <w14:schemeClr w14:val="tx1"/>
            </w14:solidFill>
          </w14:textFill>
        </w:rPr>
      </w:pPr>
    </w:p>
    <w:p>
      <w:pPr>
        <w:adjustRightInd w:val="0"/>
        <w:snapToGrid w:val="0"/>
        <w:spacing w:line="360" w:lineRule="auto"/>
        <w:rPr>
          <w:rFonts w:ascii="仿宋" w:hAnsi="仿宋" w:cs="仿宋_GB2312"/>
          <w:color w:val="000000" w:themeColor="text1"/>
          <w:szCs w:val="21"/>
          <w:u w:val="single"/>
          <w14:textFill>
            <w14:solidFill>
              <w14:schemeClr w14:val="tx1"/>
            </w14:solidFill>
          </w14:textFill>
        </w:rPr>
      </w:pPr>
    </w:p>
    <w:p>
      <w:pPr>
        <w:wordWrap w:val="0"/>
        <w:adjustRightInd w:val="0"/>
        <w:snapToGrid w:val="0"/>
        <w:spacing w:line="360" w:lineRule="auto"/>
        <w:jc w:val="right"/>
        <w:rPr>
          <w:rFonts w:ascii="仿宋" w:hAnsi="仿宋" w:cs="仿宋_GB2312"/>
          <w:color w:val="000000" w:themeColor="text1"/>
          <w:szCs w:val="21"/>
          <w14:textFill>
            <w14:solidFill>
              <w14:schemeClr w14:val="tx1"/>
            </w14:solidFill>
          </w14:textFill>
        </w:rPr>
      </w:pPr>
    </w:p>
    <w:p>
      <w:pPr>
        <w:wordWrap w:val="0"/>
        <w:adjustRightInd w:val="0"/>
        <w:snapToGrid w:val="0"/>
        <w:spacing w:line="360" w:lineRule="auto"/>
        <w:jc w:val="right"/>
        <w:rPr>
          <w:rFonts w:ascii="仿宋" w:hAnsi="仿宋" w:cs="仿宋_GB2312"/>
          <w:color w:val="000000" w:themeColor="text1"/>
          <w:szCs w:val="21"/>
          <w14:textFill>
            <w14:solidFill>
              <w14:schemeClr w14:val="tx1"/>
            </w14:solidFill>
          </w14:textFill>
        </w:rPr>
      </w:pPr>
    </w:p>
    <w:sectPr>
      <w:headerReference r:id="rId6" w:type="default"/>
      <w:pgSz w:w="11906" w:h="16838"/>
      <w:pgMar w:top="1719" w:right="2183" w:bottom="1418" w:left="1803" w:header="1091" w:footer="987"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方正仿宋_GBK">
    <w:altName w:val="Arial Unicode MS"/>
    <w:panose1 w:val="00000000000000000000"/>
    <w:charset w:val="86"/>
    <w:family w:val="auto"/>
    <w:pitch w:val="default"/>
    <w:sig w:usb0="00000000" w:usb1="00000000" w:usb2="00082016" w:usb3="00000000" w:csb0="00040001"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drawing>
        <wp:anchor distT="0" distB="0" distL="114300" distR="114300" simplePos="0" relativeHeight="251660288" behindDoc="0" locked="0" layoutInCell="1" allowOverlap="1">
          <wp:simplePos x="0" y="0"/>
          <wp:positionH relativeFrom="margin">
            <wp:posOffset>27305</wp:posOffset>
          </wp:positionH>
          <wp:positionV relativeFrom="margin">
            <wp:posOffset>8848090</wp:posOffset>
          </wp:positionV>
          <wp:extent cx="1282700" cy="300355"/>
          <wp:effectExtent l="0" t="0" r="0" b="4445"/>
          <wp:wrapSquare wrapText="bothSides"/>
          <wp:docPr id="4" name="图片 4" descr="4d4c1e332dcbbeb2042e2395d655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d4c1e332dcbbeb2042e2395d655406"/>
                  <pic:cNvPicPr>
                    <a:picLocks noChangeAspect="1"/>
                  </pic:cNvPicPr>
                </pic:nvPicPr>
                <pic:blipFill>
                  <a:blip r:embed="rId1"/>
                  <a:stretch>
                    <a:fillRect/>
                  </a:stretch>
                </pic:blipFill>
                <pic:spPr>
                  <a:xfrm>
                    <a:off x="0" y="0"/>
                    <a:ext cx="1282700" cy="300355"/>
                  </a:xfrm>
                  <a:prstGeom prst="rect">
                    <a:avLst/>
                  </a:prstGeom>
                  <a:noFill/>
                  <a:ln>
                    <a:noFill/>
                  </a:ln>
                </pic:spPr>
              </pic:pic>
            </a:graphicData>
          </a:graphic>
        </wp:anchor>
      </w:drawing>
    </w:r>
    <w:r>
      <w:fldChar w:fldCharType="begin"/>
    </w:r>
    <w:r>
      <w:instrText xml:space="preserve">PAGE   \* MERGEFORMAT</w:instrText>
    </w:r>
    <w:r>
      <w:fldChar w:fldCharType="separate"/>
    </w:r>
    <w:r>
      <w:rPr>
        <w:lang w:val="zh-CN"/>
      </w:rPr>
      <w:t>I</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drawing>
        <wp:anchor distT="0" distB="0" distL="114300" distR="114300" simplePos="0" relativeHeight="251659264" behindDoc="0" locked="0" layoutInCell="1" allowOverlap="1">
          <wp:simplePos x="0" y="0"/>
          <wp:positionH relativeFrom="margin">
            <wp:posOffset>-3810</wp:posOffset>
          </wp:positionH>
          <wp:positionV relativeFrom="margin">
            <wp:posOffset>8864600</wp:posOffset>
          </wp:positionV>
          <wp:extent cx="1282700" cy="300355"/>
          <wp:effectExtent l="0" t="0" r="0" b="4445"/>
          <wp:wrapSquare wrapText="bothSides"/>
          <wp:docPr id="3" name="图片 2" descr="4d4c1e332dcbbeb2042e2395d655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4d4c1e332dcbbeb2042e2395d655406"/>
                  <pic:cNvPicPr>
                    <a:picLocks noChangeAspect="1"/>
                  </pic:cNvPicPr>
                </pic:nvPicPr>
                <pic:blipFill>
                  <a:blip r:embed="rId1"/>
                  <a:stretch>
                    <a:fillRect/>
                  </a:stretch>
                </pic:blipFill>
                <pic:spPr>
                  <a:xfrm>
                    <a:off x="0" y="0"/>
                    <a:ext cx="1282700" cy="300355"/>
                  </a:xfrm>
                  <a:prstGeom prst="rect">
                    <a:avLst/>
                  </a:prstGeom>
                  <a:noFill/>
                  <a:ln>
                    <a:noFill/>
                  </a:ln>
                </pic:spPr>
              </pic:pic>
            </a:graphicData>
          </a:graphic>
        </wp:anchor>
      </w:drawing>
    </w:r>
    <w:r>
      <w:rPr>
        <w:sz w:val="22"/>
        <w:szCs w:val="36"/>
      </w:rPr>
      <w:fldChar w:fldCharType="begin"/>
    </w:r>
    <w:r>
      <w:rPr>
        <w:sz w:val="22"/>
        <w:szCs w:val="36"/>
      </w:rPr>
      <w:instrText xml:space="preserve">PAGE   \* MERGEFORMAT</w:instrText>
    </w:r>
    <w:r>
      <w:rPr>
        <w:sz w:val="22"/>
        <w:szCs w:val="36"/>
      </w:rPr>
      <w:fldChar w:fldCharType="separate"/>
    </w:r>
    <w:r>
      <w:rPr>
        <w:sz w:val="22"/>
        <w:szCs w:val="36"/>
        <w:lang w:val="zh-CN"/>
      </w:rPr>
      <w:t>1</w:t>
    </w:r>
    <w:r>
      <w:rPr>
        <w:sz w:val="22"/>
        <w:szCs w:val="3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仿宋_GB2312" w:eastAsia="仿宋_GB2312"/>
        <w:sz w:val="21"/>
        <w:szCs w:val="21"/>
        <w:u w:val="single"/>
      </w:rPr>
    </w:pPr>
    <w:r>
      <w:rPr>
        <w:rFonts w:hint="eastAsia" w:ascii="仿宋_GB2312" w:hAnsi="仿宋" w:eastAsia="仿宋_GB2312" w:cs="仿宋_GB2312"/>
        <w:bCs/>
        <w:sz w:val="21"/>
        <w:szCs w:val="21"/>
        <w:u w:val="single"/>
      </w:rPr>
      <w:t xml:space="preserve">辽宁省住房和城乡建设厅一体化服务平台建设项目              </w:t>
    </w:r>
    <w:r>
      <w:rPr>
        <w:rFonts w:ascii="仿宋_GB2312" w:hAnsi="仿宋" w:eastAsia="仿宋_GB2312" w:cs="仿宋_GB2312"/>
        <w:bCs/>
        <w:sz w:val="21"/>
        <w:szCs w:val="21"/>
        <w:u w:val="single"/>
      </w:rPr>
      <w:t xml:space="preserve">  </w:t>
    </w:r>
    <w:r>
      <w:rPr>
        <w:rFonts w:hint="eastAsia" w:ascii="仿宋_GB2312" w:hAnsi="仿宋" w:eastAsia="仿宋_GB2312" w:cs="仿宋_GB2312"/>
        <w:bCs/>
        <w:sz w:val="21"/>
        <w:szCs w:val="21"/>
        <w:u w:val="single"/>
      </w:rPr>
      <w:t xml:space="preserve">     </w:t>
    </w:r>
    <w:r>
      <w:rPr>
        <w:rFonts w:ascii="仿宋_GB2312" w:hAnsi="仿宋" w:eastAsia="仿宋_GB2312" w:cs="仿宋_GB2312"/>
        <w:bCs/>
        <w:sz w:val="21"/>
        <w:szCs w:val="21"/>
        <w:u w:val="single"/>
      </w:rPr>
      <w:t xml:space="preserve">   </w:t>
    </w:r>
    <w:r>
      <w:rPr>
        <w:rFonts w:hint="eastAsia" w:ascii="仿宋_GB2312" w:hAnsi="仿宋" w:eastAsia="仿宋_GB2312" w:cs="仿宋_GB2312"/>
        <w:bCs/>
        <w:sz w:val="21"/>
        <w:szCs w:val="21"/>
        <w:u w:val="single"/>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仿宋_GB2312" w:eastAsia="仿宋_GB2312"/>
        <w:sz w:val="21"/>
        <w:szCs w:val="21"/>
        <w:u w:val="single"/>
      </w:rPr>
    </w:pPr>
    <w:r>
      <w:rPr>
        <w:rFonts w:hint="eastAsia" w:ascii="仿宋_GB2312" w:hAnsi="仿宋" w:eastAsia="仿宋_GB2312" w:cs="仿宋_GB2312"/>
        <w:bCs/>
        <w:sz w:val="21"/>
        <w:szCs w:val="21"/>
        <w:u w:val="single"/>
      </w:rPr>
      <w:t xml:space="preserve">辽宁省住房和城乡建设厅一体化服务平台建设项目           </w:t>
    </w:r>
    <w:r>
      <w:rPr>
        <w:rFonts w:ascii="仿宋_GB2312" w:hAnsi="仿宋" w:eastAsia="仿宋_GB2312" w:cs="仿宋_GB2312"/>
        <w:bCs/>
        <w:sz w:val="21"/>
        <w:szCs w:val="21"/>
        <w:u w:val="single"/>
      </w:rPr>
      <w:t xml:space="preserve">  </w:t>
    </w:r>
    <w:r>
      <w:rPr>
        <w:rFonts w:hint="eastAsia" w:ascii="仿宋_GB2312" w:hAnsi="仿宋" w:eastAsia="仿宋_GB2312" w:cs="仿宋_GB2312"/>
        <w:bCs/>
        <w:sz w:val="21"/>
        <w:szCs w:val="21"/>
        <w:u w:val="single"/>
      </w:rPr>
      <w:t xml:space="preserve">     </w:t>
    </w:r>
    <w:r>
      <w:rPr>
        <w:rFonts w:ascii="仿宋_GB2312" w:hAnsi="仿宋" w:eastAsia="仿宋_GB2312" w:cs="仿宋_GB2312"/>
        <w:bCs/>
        <w:sz w:val="21"/>
        <w:szCs w:val="21"/>
        <w:u w:val="single"/>
      </w:rPr>
      <w:t xml:space="preserve">   </w:t>
    </w:r>
    <w:r>
      <w:rPr>
        <w:rFonts w:hint="eastAsia" w:ascii="仿宋_GB2312" w:hAnsi="仿宋" w:eastAsia="仿宋_GB2312" w:cs="仿宋_GB2312"/>
        <w:bCs/>
        <w:sz w:val="21"/>
        <w:szCs w:val="21"/>
        <w:u w:val="single"/>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800A4"/>
    <w:multiLevelType w:val="singleLevel"/>
    <w:tmpl w:val="8D7800A4"/>
    <w:lvl w:ilvl="0" w:tentative="0">
      <w:start w:val="1"/>
      <w:numFmt w:val="chineseCounting"/>
      <w:suff w:val="space"/>
      <w:lvlText w:val="第%1章"/>
      <w:lvlJc w:val="left"/>
      <w:rPr>
        <w:rFonts w:hint="eastAsia"/>
      </w:rPr>
    </w:lvl>
  </w:abstractNum>
  <w:abstractNum w:abstractNumId="1">
    <w:nsid w:val="93DDE01A"/>
    <w:multiLevelType w:val="singleLevel"/>
    <w:tmpl w:val="93DDE01A"/>
    <w:lvl w:ilvl="0" w:tentative="0">
      <w:start w:val="1"/>
      <w:numFmt w:val="decimal"/>
      <w:suff w:val="nothing"/>
      <w:lvlText w:val="（%1）"/>
      <w:lvlJc w:val="left"/>
    </w:lvl>
  </w:abstractNum>
  <w:abstractNum w:abstractNumId="2">
    <w:nsid w:val="B9A1E8D1"/>
    <w:multiLevelType w:val="singleLevel"/>
    <w:tmpl w:val="B9A1E8D1"/>
    <w:lvl w:ilvl="0" w:tentative="0">
      <w:start w:val="1"/>
      <w:numFmt w:val="decimal"/>
      <w:suff w:val="nothing"/>
      <w:lvlText w:val="（%1）"/>
      <w:lvlJc w:val="left"/>
    </w:lvl>
  </w:abstractNum>
  <w:abstractNum w:abstractNumId="3">
    <w:nsid w:val="F16E614B"/>
    <w:multiLevelType w:val="singleLevel"/>
    <w:tmpl w:val="F16E614B"/>
    <w:lvl w:ilvl="0" w:tentative="0">
      <w:start w:val="1"/>
      <w:numFmt w:val="chineseCounting"/>
      <w:suff w:val="nothing"/>
      <w:lvlText w:val="（%1）"/>
      <w:lvlJc w:val="left"/>
      <w:rPr>
        <w:rFonts w:hint="eastAsia"/>
      </w:rPr>
    </w:lvl>
  </w:abstractNum>
  <w:abstractNum w:abstractNumId="4">
    <w:nsid w:val="241A5486"/>
    <w:multiLevelType w:val="singleLevel"/>
    <w:tmpl w:val="241A5486"/>
    <w:lvl w:ilvl="0" w:tentative="0">
      <w:start w:val="1"/>
      <w:numFmt w:val="decimal"/>
      <w:lvlText w:val="%1."/>
      <w:lvlJc w:val="left"/>
      <w:pPr>
        <w:tabs>
          <w:tab w:val="left" w:pos="312"/>
        </w:tabs>
      </w:pPr>
    </w:lvl>
  </w:abstractNum>
  <w:abstractNum w:abstractNumId="5">
    <w:nsid w:val="27E8E525"/>
    <w:multiLevelType w:val="singleLevel"/>
    <w:tmpl w:val="27E8E525"/>
    <w:lvl w:ilvl="0" w:tentative="0">
      <w:start w:val="1"/>
      <w:numFmt w:val="decimal"/>
      <w:suff w:val="nothing"/>
      <w:lvlText w:val="（%1）"/>
      <w:lvlJc w:val="left"/>
    </w:lvl>
  </w:abstractNum>
  <w:abstractNum w:abstractNumId="6">
    <w:nsid w:val="41BB15F9"/>
    <w:multiLevelType w:val="singleLevel"/>
    <w:tmpl w:val="41BB15F9"/>
    <w:lvl w:ilvl="0" w:tentative="0">
      <w:start w:val="1"/>
      <w:numFmt w:val="chineseCounting"/>
      <w:suff w:val="nothing"/>
      <w:lvlText w:val="（%1）"/>
      <w:lvlJc w:val="left"/>
      <w:rPr>
        <w:rFonts w:hint="eastAsia"/>
      </w:rPr>
    </w:lvl>
  </w:abstractNum>
  <w:abstractNum w:abstractNumId="7">
    <w:nsid w:val="420C153B"/>
    <w:multiLevelType w:val="multilevel"/>
    <w:tmpl w:val="420C153B"/>
    <w:lvl w:ilvl="0" w:tentative="0">
      <w:start w:val="1"/>
      <w:numFmt w:val="decimal"/>
      <w:pStyle w:val="5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46F85278"/>
    <w:multiLevelType w:val="multilevel"/>
    <w:tmpl w:val="46F85278"/>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52F7058B"/>
    <w:multiLevelType w:val="multilevel"/>
    <w:tmpl w:val="52F7058B"/>
    <w:lvl w:ilvl="0" w:tentative="0">
      <w:start w:val="1"/>
      <w:numFmt w:val="decimal"/>
      <w:lvlText w:val="%1."/>
      <w:lvlJc w:val="left"/>
      <w:pPr>
        <w:tabs>
          <w:tab w:val="left" w:pos="830"/>
        </w:tabs>
        <w:ind w:left="830" w:hanging="360"/>
      </w:pPr>
      <w:rPr>
        <w:rFonts w:hint="eastAsia" w:ascii="黑体" w:hAnsi="Times New Roman"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10">
    <w:nsid w:val="7B4156D0"/>
    <w:multiLevelType w:val="singleLevel"/>
    <w:tmpl w:val="7B4156D0"/>
    <w:lvl w:ilvl="0" w:tentative="0">
      <w:start w:val="1"/>
      <w:numFmt w:val="decimal"/>
      <w:suff w:val="nothing"/>
      <w:lvlText w:val="（%1）"/>
      <w:lvlJc w:val="left"/>
    </w:lvl>
  </w:abstractNum>
  <w:num w:numId="1">
    <w:abstractNumId w:val="7"/>
  </w:num>
  <w:num w:numId="2">
    <w:abstractNumId w:val="1"/>
  </w:num>
  <w:num w:numId="3">
    <w:abstractNumId w:val="4"/>
  </w:num>
  <w:num w:numId="4">
    <w:abstractNumId w:val="0"/>
  </w:num>
  <w:num w:numId="5">
    <w:abstractNumId w:val="2"/>
  </w:num>
  <w:num w:numId="6">
    <w:abstractNumId w:val="8"/>
  </w:num>
  <w:num w:numId="7">
    <w:abstractNumId w:val="6"/>
  </w:num>
  <w:num w:numId="8">
    <w:abstractNumId w:val="3"/>
  </w:num>
  <w:num w:numId="9">
    <w:abstractNumId w:val="5"/>
  </w:num>
  <w:num w:numId="10">
    <w:abstractNumId w:val="1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1YzJkMzg2YzI1MTZjZTJkMDNjMzlkN2ZhMzFjMDQifQ=="/>
    <w:docVar w:name="KSO_WPS_MARK_KEY" w:val="979311d7-d52e-44af-8f5f-951b640a8f2d"/>
  </w:docVars>
  <w:rsids>
    <w:rsidRoot w:val="35AB3B2B"/>
    <w:rsid w:val="00001B26"/>
    <w:rsid w:val="00003152"/>
    <w:rsid w:val="00006C97"/>
    <w:rsid w:val="00007B90"/>
    <w:rsid w:val="000112BA"/>
    <w:rsid w:val="0001138F"/>
    <w:rsid w:val="000125C4"/>
    <w:rsid w:val="00015011"/>
    <w:rsid w:val="0001558A"/>
    <w:rsid w:val="00016A3E"/>
    <w:rsid w:val="00017755"/>
    <w:rsid w:val="0002065B"/>
    <w:rsid w:val="00022686"/>
    <w:rsid w:val="00025233"/>
    <w:rsid w:val="00026894"/>
    <w:rsid w:val="000268C8"/>
    <w:rsid w:val="000271FF"/>
    <w:rsid w:val="00027F7E"/>
    <w:rsid w:val="00030E29"/>
    <w:rsid w:val="00031AC7"/>
    <w:rsid w:val="00033E94"/>
    <w:rsid w:val="00034688"/>
    <w:rsid w:val="000352A7"/>
    <w:rsid w:val="000361D2"/>
    <w:rsid w:val="00036A11"/>
    <w:rsid w:val="00042F55"/>
    <w:rsid w:val="0004517C"/>
    <w:rsid w:val="0004573F"/>
    <w:rsid w:val="00046C54"/>
    <w:rsid w:val="00054BE1"/>
    <w:rsid w:val="00060F41"/>
    <w:rsid w:val="000613C9"/>
    <w:rsid w:val="00061FC8"/>
    <w:rsid w:val="00063356"/>
    <w:rsid w:val="000636C6"/>
    <w:rsid w:val="00064EBF"/>
    <w:rsid w:val="00065E1D"/>
    <w:rsid w:val="0007057C"/>
    <w:rsid w:val="000727E9"/>
    <w:rsid w:val="00072875"/>
    <w:rsid w:val="00072E35"/>
    <w:rsid w:val="00072FD3"/>
    <w:rsid w:val="00076C1A"/>
    <w:rsid w:val="00077BF1"/>
    <w:rsid w:val="00081B74"/>
    <w:rsid w:val="000829E7"/>
    <w:rsid w:val="000834F5"/>
    <w:rsid w:val="000843AE"/>
    <w:rsid w:val="00084E5A"/>
    <w:rsid w:val="0008618C"/>
    <w:rsid w:val="00092218"/>
    <w:rsid w:val="00093FEC"/>
    <w:rsid w:val="000944DD"/>
    <w:rsid w:val="000951DF"/>
    <w:rsid w:val="000952FE"/>
    <w:rsid w:val="00096E47"/>
    <w:rsid w:val="0009731D"/>
    <w:rsid w:val="000A24D8"/>
    <w:rsid w:val="000A2EA7"/>
    <w:rsid w:val="000A4219"/>
    <w:rsid w:val="000A4CA4"/>
    <w:rsid w:val="000A7873"/>
    <w:rsid w:val="000B024D"/>
    <w:rsid w:val="000B13E4"/>
    <w:rsid w:val="000B2255"/>
    <w:rsid w:val="000B24E2"/>
    <w:rsid w:val="000B2B53"/>
    <w:rsid w:val="000B2D3A"/>
    <w:rsid w:val="000B5354"/>
    <w:rsid w:val="000B712F"/>
    <w:rsid w:val="000B772E"/>
    <w:rsid w:val="000C0B6D"/>
    <w:rsid w:val="000C0E37"/>
    <w:rsid w:val="000C361E"/>
    <w:rsid w:val="000D1063"/>
    <w:rsid w:val="000D169F"/>
    <w:rsid w:val="000D37FB"/>
    <w:rsid w:val="000D486B"/>
    <w:rsid w:val="000D781B"/>
    <w:rsid w:val="000D7BB0"/>
    <w:rsid w:val="000E3FEE"/>
    <w:rsid w:val="000E4803"/>
    <w:rsid w:val="000E485D"/>
    <w:rsid w:val="000E5C28"/>
    <w:rsid w:val="000E5D99"/>
    <w:rsid w:val="000E6314"/>
    <w:rsid w:val="000E6A08"/>
    <w:rsid w:val="000E79F4"/>
    <w:rsid w:val="000F1091"/>
    <w:rsid w:val="000F2740"/>
    <w:rsid w:val="000F5035"/>
    <w:rsid w:val="000F5EC2"/>
    <w:rsid w:val="000F628D"/>
    <w:rsid w:val="000F6EAA"/>
    <w:rsid w:val="000F7558"/>
    <w:rsid w:val="000F78DC"/>
    <w:rsid w:val="000F7968"/>
    <w:rsid w:val="001015DF"/>
    <w:rsid w:val="00101F10"/>
    <w:rsid w:val="00103408"/>
    <w:rsid w:val="001048CC"/>
    <w:rsid w:val="001079BD"/>
    <w:rsid w:val="00107E40"/>
    <w:rsid w:val="00110574"/>
    <w:rsid w:val="00110B2A"/>
    <w:rsid w:val="00111F5A"/>
    <w:rsid w:val="00117DE7"/>
    <w:rsid w:val="00121A98"/>
    <w:rsid w:val="00124CB1"/>
    <w:rsid w:val="001257F2"/>
    <w:rsid w:val="001262ED"/>
    <w:rsid w:val="00127EDA"/>
    <w:rsid w:val="001348E3"/>
    <w:rsid w:val="00134FBD"/>
    <w:rsid w:val="0013522F"/>
    <w:rsid w:val="00135789"/>
    <w:rsid w:val="001368C9"/>
    <w:rsid w:val="00136C12"/>
    <w:rsid w:val="00137ABE"/>
    <w:rsid w:val="00137E78"/>
    <w:rsid w:val="0014363D"/>
    <w:rsid w:val="001457B6"/>
    <w:rsid w:val="00146881"/>
    <w:rsid w:val="00147EA4"/>
    <w:rsid w:val="00151563"/>
    <w:rsid w:val="001535A4"/>
    <w:rsid w:val="00153EE0"/>
    <w:rsid w:val="0015422E"/>
    <w:rsid w:val="00155DE7"/>
    <w:rsid w:val="00155F37"/>
    <w:rsid w:val="001560B2"/>
    <w:rsid w:val="00157B35"/>
    <w:rsid w:val="00160145"/>
    <w:rsid w:val="001612AD"/>
    <w:rsid w:val="00161BB4"/>
    <w:rsid w:val="001675AD"/>
    <w:rsid w:val="001706A3"/>
    <w:rsid w:val="00170858"/>
    <w:rsid w:val="001728F2"/>
    <w:rsid w:val="00173925"/>
    <w:rsid w:val="00174149"/>
    <w:rsid w:val="0017617D"/>
    <w:rsid w:val="001761CE"/>
    <w:rsid w:val="00176D8F"/>
    <w:rsid w:val="001771EA"/>
    <w:rsid w:val="00180905"/>
    <w:rsid w:val="00180F27"/>
    <w:rsid w:val="00181806"/>
    <w:rsid w:val="00182384"/>
    <w:rsid w:val="0018261B"/>
    <w:rsid w:val="00183988"/>
    <w:rsid w:val="00184EFA"/>
    <w:rsid w:val="0018626B"/>
    <w:rsid w:val="00186430"/>
    <w:rsid w:val="00187CC8"/>
    <w:rsid w:val="00190BB6"/>
    <w:rsid w:val="00192890"/>
    <w:rsid w:val="00193BD6"/>
    <w:rsid w:val="001966CB"/>
    <w:rsid w:val="00197002"/>
    <w:rsid w:val="001973B8"/>
    <w:rsid w:val="001A07D1"/>
    <w:rsid w:val="001A212A"/>
    <w:rsid w:val="001A254C"/>
    <w:rsid w:val="001A25B5"/>
    <w:rsid w:val="001A5914"/>
    <w:rsid w:val="001A5B0F"/>
    <w:rsid w:val="001B0312"/>
    <w:rsid w:val="001B233D"/>
    <w:rsid w:val="001B305B"/>
    <w:rsid w:val="001B6232"/>
    <w:rsid w:val="001B706E"/>
    <w:rsid w:val="001B7A81"/>
    <w:rsid w:val="001B7F1A"/>
    <w:rsid w:val="001C2580"/>
    <w:rsid w:val="001C38DB"/>
    <w:rsid w:val="001C4F34"/>
    <w:rsid w:val="001C5B60"/>
    <w:rsid w:val="001C69A2"/>
    <w:rsid w:val="001D014E"/>
    <w:rsid w:val="001D4F5F"/>
    <w:rsid w:val="001D51DB"/>
    <w:rsid w:val="001D74B3"/>
    <w:rsid w:val="001E2569"/>
    <w:rsid w:val="001E2F1E"/>
    <w:rsid w:val="001E311A"/>
    <w:rsid w:val="001E710F"/>
    <w:rsid w:val="001E73BE"/>
    <w:rsid w:val="001E7576"/>
    <w:rsid w:val="001F1442"/>
    <w:rsid w:val="001F1B25"/>
    <w:rsid w:val="001F2F4F"/>
    <w:rsid w:val="001F33B0"/>
    <w:rsid w:val="001F4567"/>
    <w:rsid w:val="002003B7"/>
    <w:rsid w:val="00201AE9"/>
    <w:rsid w:val="00202FF4"/>
    <w:rsid w:val="00204E46"/>
    <w:rsid w:val="00205FD2"/>
    <w:rsid w:val="00207B90"/>
    <w:rsid w:val="00210A2E"/>
    <w:rsid w:val="00212DFE"/>
    <w:rsid w:val="00213645"/>
    <w:rsid w:val="00214521"/>
    <w:rsid w:val="002167F8"/>
    <w:rsid w:val="00217880"/>
    <w:rsid w:val="0022058A"/>
    <w:rsid w:val="00223C98"/>
    <w:rsid w:val="002259FF"/>
    <w:rsid w:val="00226266"/>
    <w:rsid w:val="002267F4"/>
    <w:rsid w:val="002277ED"/>
    <w:rsid w:val="002306E2"/>
    <w:rsid w:val="00234505"/>
    <w:rsid w:val="0023483C"/>
    <w:rsid w:val="00236046"/>
    <w:rsid w:val="0024308B"/>
    <w:rsid w:val="00243D7D"/>
    <w:rsid w:val="002451C4"/>
    <w:rsid w:val="00245A53"/>
    <w:rsid w:val="00246011"/>
    <w:rsid w:val="002460C8"/>
    <w:rsid w:val="00250491"/>
    <w:rsid w:val="0025093F"/>
    <w:rsid w:val="0025299C"/>
    <w:rsid w:val="002537A6"/>
    <w:rsid w:val="00254496"/>
    <w:rsid w:val="00256012"/>
    <w:rsid w:val="00263858"/>
    <w:rsid w:val="00264209"/>
    <w:rsid w:val="002664FC"/>
    <w:rsid w:val="0026766D"/>
    <w:rsid w:val="002679C9"/>
    <w:rsid w:val="002711DE"/>
    <w:rsid w:val="002714AD"/>
    <w:rsid w:val="00272DCB"/>
    <w:rsid w:val="0027302F"/>
    <w:rsid w:val="00273C0B"/>
    <w:rsid w:val="00273C57"/>
    <w:rsid w:val="0027457A"/>
    <w:rsid w:val="002748BD"/>
    <w:rsid w:val="002759FF"/>
    <w:rsid w:val="00275A85"/>
    <w:rsid w:val="00280554"/>
    <w:rsid w:val="00280795"/>
    <w:rsid w:val="00282DFB"/>
    <w:rsid w:val="00283B7F"/>
    <w:rsid w:val="00285962"/>
    <w:rsid w:val="00286C70"/>
    <w:rsid w:val="00292584"/>
    <w:rsid w:val="0029673D"/>
    <w:rsid w:val="0029766D"/>
    <w:rsid w:val="002A02DA"/>
    <w:rsid w:val="002A065B"/>
    <w:rsid w:val="002A4138"/>
    <w:rsid w:val="002A4DA9"/>
    <w:rsid w:val="002A5415"/>
    <w:rsid w:val="002B01C7"/>
    <w:rsid w:val="002B0793"/>
    <w:rsid w:val="002B2BE3"/>
    <w:rsid w:val="002B3C52"/>
    <w:rsid w:val="002C55BC"/>
    <w:rsid w:val="002C630E"/>
    <w:rsid w:val="002C6EA3"/>
    <w:rsid w:val="002D0745"/>
    <w:rsid w:val="002D59E7"/>
    <w:rsid w:val="002D6E9E"/>
    <w:rsid w:val="002E1E8D"/>
    <w:rsid w:val="002E2E3E"/>
    <w:rsid w:val="002E3592"/>
    <w:rsid w:val="002E464C"/>
    <w:rsid w:val="002F05AC"/>
    <w:rsid w:val="002F0C28"/>
    <w:rsid w:val="002F0FAB"/>
    <w:rsid w:val="002F1045"/>
    <w:rsid w:val="002F1EE1"/>
    <w:rsid w:val="002F323B"/>
    <w:rsid w:val="002F523E"/>
    <w:rsid w:val="002F6019"/>
    <w:rsid w:val="002F6253"/>
    <w:rsid w:val="002F7CD8"/>
    <w:rsid w:val="00300079"/>
    <w:rsid w:val="003066BD"/>
    <w:rsid w:val="003074CB"/>
    <w:rsid w:val="0030781E"/>
    <w:rsid w:val="00311526"/>
    <w:rsid w:val="00312480"/>
    <w:rsid w:val="00312523"/>
    <w:rsid w:val="003138A0"/>
    <w:rsid w:val="00314266"/>
    <w:rsid w:val="00315160"/>
    <w:rsid w:val="00315161"/>
    <w:rsid w:val="00315F36"/>
    <w:rsid w:val="00317975"/>
    <w:rsid w:val="00323580"/>
    <w:rsid w:val="00324367"/>
    <w:rsid w:val="00324551"/>
    <w:rsid w:val="003254C4"/>
    <w:rsid w:val="00331217"/>
    <w:rsid w:val="003314AB"/>
    <w:rsid w:val="003319FB"/>
    <w:rsid w:val="00334518"/>
    <w:rsid w:val="00335A5F"/>
    <w:rsid w:val="00336DC4"/>
    <w:rsid w:val="00337490"/>
    <w:rsid w:val="00340D6E"/>
    <w:rsid w:val="00341F18"/>
    <w:rsid w:val="00344C31"/>
    <w:rsid w:val="00344E31"/>
    <w:rsid w:val="003457BF"/>
    <w:rsid w:val="00346032"/>
    <w:rsid w:val="00346265"/>
    <w:rsid w:val="003475EB"/>
    <w:rsid w:val="0035053C"/>
    <w:rsid w:val="00353D2B"/>
    <w:rsid w:val="003544D8"/>
    <w:rsid w:val="003549B4"/>
    <w:rsid w:val="003574AB"/>
    <w:rsid w:val="00360B71"/>
    <w:rsid w:val="003616B4"/>
    <w:rsid w:val="00362F2A"/>
    <w:rsid w:val="00363498"/>
    <w:rsid w:val="00365352"/>
    <w:rsid w:val="00366999"/>
    <w:rsid w:val="0036753B"/>
    <w:rsid w:val="003678C9"/>
    <w:rsid w:val="00370FE8"/>
    <w:rsid w:val="0037234B"/>
    <w:rsid w:val="003726F6"/>
    <w:rsid w:val="003739E8"/>
    <w:rsid w:val="00373DEC"/>
    <w:rsid w:val="003763A8"/>
    <w:rsid w:val="00376E2D"/>
    <w:rsid w:val="00380A0C"/>
    <w:rsid w:val="00382F03"/>
    <w:rsid w:val="00383A8E"/>
    <w:rsid w:val="003842FD"/>
    <w:rsid w:val="00385283"/>
    <w:rsid w:val="00387E06"/>
    <w:rsid w:val="00390374"/>
    <w:rsid w:val="0039123C"/>
    <w:rsid w:val="00391D32"/>
    <w:rsid w:val="0039453C"/>
    <w:rsid w:val="003946FF"/>
    <w:rsid w:val="0039488A"/>
    <w:rsid w:val="0039552E"/>
    <w:rsid w:val="003A0753"/>
    <w:rsid w:val="003A1022"/>
    <w:rsid w:val="003A1B8D"/>
    <w:rsid w:val="003A202D"/>
    <w:rsid w:val="003A3EF1"/>
    <w:rsid w:val="003A505B"/>
    <w:rsid w:val="003A5C7E"/>
    <w:rsid w:val="003A5D43"/>
    <w:rsid w:val="003B0B77"/>
    <w:rsid w:val="003B1120"/>
    <w:rsid w:val="003B4A44"/>
    <w:rsid w:val="003C6391"/>
    <w:rsid w:val="003C6639"/>
    <w:rsid w:val="003C6698"/>
    <w:rsid w:val="003C6FE6"/>
    <w:rsid w:val="003C72A8"/>
    <w:rsid w:val="003C7C54"/>
    <w:rsid w:val="003D1E8E"/>
    <w:rsid w:val="003D244F"/>
    <w:rsid w:val="003D57F2"/>
    <w:rsid w:val="003D65DD"/>
    <w:rsid w:val="003D7607"/>
    <w:rsid w:val="003E158E"/>
    <w:rsid w:val="003E1FAE"/>
    <w:rsid w:val="003E69CA"/>
    <w:rsid w:val="003F0CCB"/>
    <w:rsid w:val="003F1303"/>
    <w:rsid w:val="003F1DAB"/>
    <w:rsid w:val="003F46BC"/>
    <w:rsid w:val="003F5979"/>
    <w:rsid w:val="00401092"/>
    <w:rsid w:val="00403FF0"/>
    <w:rsid w:val="0040431D"/>
    <w:rsid w:val="00404D28"/>
    <w:rsid w:val="0040505A"/>
    <w:rsid w:val="004056FB"/>
    <w:rsid w:val="0040596B"/>
    <w:rsid w:val="00407346"/>
    <w:rsid w:val="00407FE6"/>
    <w:rsid w:val="004120C1"/>
    <w:rsid w:val="00414B4C"/>
    <w:rsid w:val="00414EFC"/>
    <w:rsid w:val="00414F7E"/>
    <w:rsid w:val="00416BED"/>
    <w:rsid w:val="004172A5"/>
    <w:rsid w:val="00421A69"/>
    <w:rsid w:val="0042248B"/>
    <w:rsid w:val="004224E8"/>
    <w:rsid w:val="00424FAB"/>
    <w:rsid w:val="004315C5"/>
    <w:rsid w:val="00431624"/>
    <w:rsid w:val="00431C0B"/>
    <w:rsid w:val="0044059D"/>
    <w:rsid w:val="00440750"/>
    <w:rsid w:val="00441146"/>
    <w:rsid w:val="0044242D"/>
    <w:rsid w:val="00451FAE"/>
    <w:rsid w:val="00453668"/>
    <w:rsid w:val="00455884"/>
    <w:rsid w:val="00460749"/>
    <w:rsid w:val="00462999"/>
    <w:rsid w:val="004633B4"/>
    <w:rsid w:val="00465F3E"/>
    <w:rsid w:val="00466A28"/>
    <w:rsid w:val="00467DBE"/>
    <w:rsid w:val="00470299"/>
    <w:rsid w:val="0047528E"/>
    <w:rsid w:val="00476458"/>
    <w:rsid w:val="00476936"/>
    <w:rsid w:val="00476FC7"/>
    <w:rsid w:val="0047765B"/>
    <w:rsid w:val="00477F7E"/>
    <w:rsid w:val="00481687"/>
    <w:rsid w:val="00484268"/>
    <w:rsid w:val="00485EA0"/>
    <w:rsid w:val="00486AE9"/>
    <w:rsid w:val="00487AE9"/>
    <w:rsid w:val="00487E2A"/>
    <w:rsid w:val="00492459"/>
    <w:rsid w:val="0049376F"/>
    <w:rsid w:val="00495888"/>
    <w:rsid w:val="00495C2C"/>
    <w:rsid w:val="0049609E"/>
    <w:rsid w:val="00496372"/>
    <w:rsid w:val="004965C7"/>
    <w:rsid w:val="00496654"/>
    <w:rsid w:val="00497016"/>
    <w:rsid w:val="00497FB3"/>
    <w:rsid w:val="004A3669"/>
    <w:rsid w:val="004A4B31"/>
    <w:rsid w:val="004A6AD8"/>
    <w:rsid w:val="004B033A"/>
    <w:rsid w:val="004B372B"/>
    <w:rsid w:val="004B39AD"/>
    <w:rsid w:val="004B3A8F"/>
    <w:rsid w:val="004B52CA"/>
    <w:rsid w:val="004B68E1"/>
    <w:rsid w:val="004C0AB8"/>
    <w:rsid w:val="004C189D"/>
    <w:rsid w:val="004C2E07"/>
    <w:rsid w:val="004C60C8"/>
    <w:rsid w:val="004C6B4B"/>
    <w:rsid w:val="004C7CA6"/>
    <w:rsid w:val="004D25E4"/>
    <w:rsid w:val="004D31CC"/>
    <w:rsid w:val="004D5436"/>
    <w:rsid w:val="004E0779"/>
    <w:rsid w:val="004E1808"/>
    <w:rsid w:val="004E3769"/>
    <w:rsid w:val="004E4308"/>
    <w:rsid w:val="004E533E"/>
    <w:rsid w:val="004F14DB"/>
    <w:rsid w:val="004F2268"/>
    <w:rsid w:val="004F42B3"/>
    <w:rsid w:val="004F4C61"/>
    <w:rsid w:val="004F4D80"/>
    <w:rsid w:val="004F52FD"/>
    <w:rsid w:val="004F5A01"/>
    <w:rsid w:val="004F5C93"/>
    <w:rsid w:val="00500295"/>
    <w:rsid w:val="0050053E"/>
    <w:rsid w:val="00502BE9"/>
    <w:rsid w:val="005040F4"/>
    <w:rsid w:val="0050541E"/>
    <w:rsid w:val="005063EE"/>
    <w:rsid w:val="005069CF"/>
    <w:rsid w:val="005141A0"/>
    <w:rsid w:val="00514DE2"/>
    <w:rsid w:val="00524671"/>
    <w:rsid w:val="00526823"/>
    <w:rsid w:val="0053191C"/>
    <w:rsid w:val="005319EB"/>
    <w:rsid w:val="00531A3F"/>
    <w:rsid w:val="0053267C"/>
    <w:rsid w:val="00532971"/>
    <w:rsid w:val="0053599F"/>
    <w:rsid w:val="00536175"/>
    <w:rsid w:val="005370E1"/>
    <w:rsid w:val="005373B4"/>
    <w:rsid w:val="005374FA"/>
    <w:rsid w:val="005378A0"/>
    <w:rsid w:val="00541EA3"/>
    <w:rsid w:val="00543C32"/>
    <w:rsid w:val="00543F35"/>
    <w:rsid w:val="00543F74"/>
    <w:rsid w:val="00545507"/>
    <w:rsid w:val="0054586A"/>
    <w:rsid w:val="00546579"/>
    <w:rsid w:val="0054785E"/>
    <w:rsid w:val="005500CB"/>
    <w:rsid w:val="00551E95"/>
    <w:rsid w:val="00552E61"/>
    <w:rsid w:val="005530E5"/>
    <w:rsid w:val="00553B06"/>
    <w:rsid w:val="00553BE0"/>
    <w:rsid w:val="00553E96"/>
    <w:rsid w:val="00554A07"/>
    <w:rsid w:val="00554C8E"/>
    <w:rsid w:val="00555175"/>
    <w:rsid w:val="00555573"/>
    <w:rsid w:val="00560A84"/>
    <w:rsid w:val="005630F6"/>
    <w:rsid w:val="005636F4"/>
    <w:rsid w:val="00564C7C"/>
    <w:rsid w:val="00565C97"/>
    <w:rsid w:val="005674BD"/>
    <w:rsid w:val="00567E19"/>
    <w:rsid w:val="005703B3"/>
    <w:rsid w:val="0057438F"/>
    <w:rsid w:val="0057540F"/>
    <w:rsid w:val="00575817"/>
    <w:rsid w:val="005764AF"/>
    <w:rsid w:val="00577024"/>
    <w:rsid w:val="00577B7C"/>
    <w:rsid w:val="00577C8A"/>
    <w:rsid w:val="00580B35"/>
    <w:rsid w:val="00580D0A"/>
    <w:rsid w:val="005813AB"/>
    <w:rsid w:val="00581647"/>
    <w:rsid w:val="005817F4"/>
    <w:rsid w:val="0058275F"/>
    <w:rsid w:val="00582C5E"/>
    <w:rsid w:val="00584F8C"/>
    <w:rsid w:val="00586962"/>
    <w:rsid w:val="00587357"/>
    <w:rsid w:val="005873A5"/>
    <w:rsid w:val="00587497"/>
    <w:rsid w:val="005875EE"/>
    <w:rsid w:val="005907D7"/>
    <w:rsid w:val="00590FB0"/>
    <w:rsid w:val="005917C6"/>
    <w:rsid w:val="00592BFE"/>
    <w:rsid w:val="005A112A"/>
    <w:rsid w:val="005A20BD"/>
    <w:rsid w:val="005A2C08"/>
    <w:rsid w:val="005A517A"/>
    <w:rsid w:val="005A6B81"/>
    <w:rsid w:val="005B0539"/>
    <w:rsid w:val="005B0731"/>
    <w:rsid w:val="005B08EC"/>
    <w:rsid w:val="005B2BAA"/>
    <w:rsid w:val="005B2C40"/>
    <w:rsid w:val="005B41E2"/>
    <w:rsid w:val="005B45C0"/>
    <w:rsid w:val="005B4B8B"/>
    <w:rsid w:val="005B5121"/>
    <w:rsid w:val="005B6B25"/>
    <w:rsid w:val="005B7463"/>
    <w:rsid w:val="005B7F51"/>
    <w:rsid w:val="005C19A9"/>
    <w:rsid w:val="005C2AB9"/>
    <w:rsid w:val="005C2B9F"/>
    <w:rsid w:val="005D0500"/>
    <w:rsid w:val="005D14EE"/>
    <w:rsid w:val="005D2FD7"/>
    <w:rsid w:val="005D4603"/>
    <w:rsid w:val="005D6DFD"/>
    <w:rsid w:val="005D78C2"/>
    <w:rsid w:val="005E1F6B"/>
    <w:rsid w:val="005E3062"/>
    <w:rsid w:val="005E31BA"/>
    <w:rsid w:val="005E3DF5"/>
    <w:rsid w:val="005E47EE"/>
    <w:rsid w:val="005E4DB2"/>
    <w:rsid w:val="005E55D9"/>
    <w:rsid w:val="005F0DB2"/>
    <w:rsid w:val="005F3EDA"/>
    <w:rsid w:val="005F4591"/>
    <w:rsid w:val="005F464D"/>
    <w:rsid w:val="005F4810"/>
    <w:rsid w:val="005F4F2F"/>
    <w:rsid w:val="005F6D83"/>
    <w:rsid w:val="006005E7"/>
    <w:rsid w:val="00600B7C"/>
    <w:rsid w:val="00601365"/>
    <w:rsid w:val="006016E8"/>
    <w:rsid w:val="006036EA"/>
    <w:rsid w:val="00604322"/>
    <w:rsid w:val="00604C09"/>
    <w:rsid w:val="0060610E"/>
    <w:rsid w:val="006101FF"/>
    <w:rsid w:val="00612A11"/>
    <w:rsid w:val="00612A91"/>
    <w:rsid w:val="00614803"/>
    <w:rsid w:val="00614EEC"/>
    <w:rsid w:val="00616FC1"/>
    <w:rsid w:val="00617CFD"/>
    <w:rsid w:val="00620523"/>
    <w:rsid w:val="00620B1E"/>
    <w:rsid w:val="00625483"/>
    <w:rsid w:val="00625741"/>
    <w:rsid w:val="00630A94"/>
    <w:rsid w:val="0063139B"/>
    <w:rsid w:val="00632C84"/>
    <w:rsid w:val="00633A31"/>
    <w:rsid w:val="00634878"/>
    <w:rsid w:val="006358C4"/>
    <w:rsid w:val="00640FCC"/>
    <w:rsid w:val="00641EFA"/>
    <w:rsid w:val="00642881"/>
    <w:rsid w:val="006432E7"/>
    <w:rsid w:val="0064688D"/>
    <w:rsid w:val="00647352"/>
    <w:rsid w:val="00647AB6"/>
    <w:rsid w:val="00647C31"/>
    <w:rsid w:val="0065046C"/>
    <w:rsid w:val="00650B43"/>
    <w:rsid w:val="00650E82"/>
    <w:rsid w:val="0065100A"/>
    <w:rsid w:val="00651944"/>
    <w:rsid w:val="0065674D"/>
    <w:rsid w:val="006574EC"/>
    <w:rsid w:val="006601BD"/>
    <w:rsid w:val="00660DF8"/>
    <w:rsid w:val="00661767"/>
    <w:rsid w:val="00664A63"/>
    <w:rsid w:val="00665B62"/>
    <w:rsid w:val="00665FF1"/>
    <w:rsid w:val="00666CFD"/>
    <w:rsid w:val="00666D6F"/>
    <w:rsid w:val="00667AA8"/>
    <w:rsid w:val="0067366B"/>
    <w:rsid w:val="00673791"/>
    <w:rsid w:val="00675DB8"/>
    <w:rsid w:val="00675EBF"/>
    <w:rsid w:val="00676A0E"/>
    <w:rsid w:val="006802C7"/>
    <w:rsid w:val="006819F9"/>
    <w:rsid w:val="00681AA3"/>
    <w:rsid w:val="0068207D"/>
    <w:rsid w:val="00682EF2"/>
    <w:rsid w:val="0068406C"/>
    <w:rsid w:val="00684C6F"/>
    <w:rsid w:val="00684E56"/>
    <w:rsid w:val="0068547C"/>
    <w:rsid w:val="00687299"/>
    <w:rsid w:val="00687864"/>
    <w:rsid w:val="00691449"/>
    <w:rsid w:val="0069152D"/>
    <w:rsid w:val="00694FB3"/>
    <w:rsid w:val="00695871"/>
    <w:rsid w:val="00695F3D"/>
    <w:rsid w:val="00697987"/>
    <w:rsid w:val="00697D59"/>
    <w:rsid w:val="006A1215"/>
    <w:rsid w:val="006A255E"/>
    <w:rsid w:val="006A616D"/>
    <w:rsid w:val="006A78E2"/>
    <w:rsid w:val="006B2394"/>
    <w:rsid w:val="006B2B77"/>
    <w:rsid w:val="006B69EB"/>
    <w:rsid w:val="006B73AB"/>
    <w:rsid w:val="006B7BDF"/>
    <w:rsid w:val="006C0C14"/>
    <w:rsid w:val="006C214F"/>
    <w:rsid w:val="006C2CB1"/>
    <w:rsid w:val="006C2F38"/>
    <w:rsid w:val="006C44B1"/>
    <w:rsid w:val="006C50A7"/>
    <w:rsid w:val="006C6692"/>
    <w:rsid w:val="006D053D"/>
    <w:rsid w:val="006D2D49"/>
    <w:rsid w:val="006D32A6"/>
    <w:rsid w:val="006D363E"/>
    <w:rsid w:val="006D42CD"/>
    <w:rsid w:val="006D5F80"/>
    <w:rsid w:val="006D6B0F"/>
    <w:rsid w:val="006E1978"/>
    <w:rsid w:val="006E2943"/>
    <w:rsid w:val="006E3FA8"/>
    <w:rsid w:val="006E4228"/>
    <w:rsid w:val="006E5FA7"/>
    <w:rsid w:val="006F076D"/>
    <w:rsid w:val="006F0C86"/>
    <w:rsid w:val="006F10BE"/>
    <w:rsid w:val="006F3D40"/>
    <w:rsid w:val="006F43BC"/>
    <w:rsid w:val="006F4C14"/>
    <w:rsid w:val="00701678"/>
    <w:rsid w:val="0070191C"/>
    <w:rsid w:val="00701DF1"/>
    <w:rsid w:val="00702A69"/>
    <w:rsid w:val="0070426B"/>
    <w:rsid w:val="00706BD6"/>
    <w:rsid w:val="00707E9E"/>
    <w:rsid w:val="007108AF"/>
    <w:rsid w:val="0071120B"/>
    <w:rsid w:val="00712B37"/>
    <w:rsid w:val="00717465"/>
    <w:rsid w:val="00717807"/>
    <w:rsid w:val="007247D3"/>
    <w:rsid w:val="00724BC6"/>
    <w:rsid w:val="00725817"/>
    <w:rsid w:val="00725FAD"/>
    <w:rsid w:val="00726A72"/>
    <w:rsid w:val="0073015F"/>
    <w:rsid w:val="007305E4"/>
    <w:rsid w:val="007307D9"/>
    <w:rsid w:val="00731FCC"/>
    <w:rsid w:val="00735425"/>
    <w:rsid w:val="007358B6"/>
    <w:rsid w:val="00735AAE"/>
    <w:rsid w:val="00736379"/>
    <w:rsid w:val="00737580"/>
    <w:rsid w:val="00740997"/>
    <w:rsid w:val="007417FF"/>
    <w:rsid w:val="007463BE"/>
    <w:rsid w:val="00747E19"/>
    <w:rsid w:val="007524AE"/>
    <w:rsid w:val="0075405D"/>
    <w:rsid w:val="00754E8A"/>
    <w:rsid w:val="007561A6"/>
    <w:rsid w:val="00760DAC"/>
    <w:rsid w:val="00761162"/>
    <w:rsid w:val="0076171C"/>
    <w:rsid w:val="00761FA6"/>
    <w:rsid w:val="00762E59"/>
    <w:rsid w:val="007678FE"/>
    <w:rsid w:val="00767CA3"/>
    <w:rsid w:val="00770997"/>
    <w:rsid w:val="00772CBE"/>
    <w:rsid w:val="007738A2"/>
    <w:rsid w:val="00773D25"/>
    <w:rsid w:val="00773FBE"/>
    <w:rsid w:val="007740DF"/>
    <w:rsid w:val="00777049"/>
    <w:rsid w:val="0077749F"/>
    <w:rsid w:val="00777B3A"/>
    <w:rsid w:val="00780127"/>
    <w:rsid w:val="0078119F"/>
    <w:rsid w:val="0078169B"/>
    <w:rsid w:val="00782F31"/>
    <w:rsid w:val="00783739"/>
    <w:rsid w:val="00784C2C"/>
    <w:rsid w:val="00786C98"/>
    <w:rsid w:val="00787406"/>
    <w:rsid w:val="007912CB"/>
    <w:rsid w:val="00791FED"/>
    <w:rsid w:val="00792E5B"/>
    <w:rsid w:val="00792F08"/>
    <w:rsid w:val="00793BAF"/>
    <w:rsid w:val="00794F42"/>
    <w:rsid w:val="00795DC3"/>
    <w:rsid w:val="0079642B"/>
    <w:rsid w:val="00796E36"/>
    <w:rsid w:val="00797079"/>
    <w:rsid w:val="007978D9"/>
    <w:rsid w:val="007A14A3"/>
    <w:rsid w:val="007A15E8"/>
    <w:rsid w:val="007A2A67"/>
    <w:rsid w:val="007A2C41"/>
    <w:rsid w:val="007A2E61"/>
    <w:rsid w:val="007A4793"/>
    <w:rsid w:val="007A53D4"/>
    <w:rsid w:val="007A61AA"/>
    <w:rsid w:val="007A63E3"/>
    <w:rsid w:val="007A776C"/>
    <w:rsid w:val="007A7C47"/>
    <w:rsid w:val="007B0160"/>
    <w:rsid w:val="007B270C"/>
    <w:rsid w:val="007B2FB8"/>
    <w:rsid w:val="007B421F"/>
    <w:rsid w:val="007B59D9"/>
    <w:rsid w:val="007C279E"/>
    <w:rsid w:val="007C3D7E"/>
    <w:rsid w:val="007C439F"/>
    <w:rsid w:val="007C5982"/>
    <w:rsid w:val="007C6B20"/>
    <w:rsid w:val="007C7EB1"/>
    <w:rsid w:val="007C7F0A"/>
    <w:rsid w:val="007D0933"/>
    <w:rsid w:val="007D1608"/>
    <w:rsid w:val="007D2BE2"/>
    <w:rsid w:val="007D41BF"/>
    <w:rsid w:val="007D4AD4"/>
    <w:rsid w:val="007D507A"/>
    <w:rsid w:val="007D5997"/>
    <w:rsid w:val="007E049F"/>
    <w:rsid w:val="007E1614"/>
    <w:rsid w:val="007E22C9"/>
    <w:rsid w:val="007E3AF4"/>
    <w:rsid w:val="007E3B75"/>
    <w:rsid w:val="007E6020"/>
    <w:rsid w:val="007F0AEB"/>
    <w:rsid w:val="007F118E"/>
    <w:rsid w:val="007F27AA"/>
    <w:rsid w:val="007F42AF"/>
    <w:rsid w:val="007F7C41"/>
    <w:rsid w:val="008028A9"/>
    <w:rsid w:val="00803021"/>
    <w:rsid w:val="00807F90"/>
    <w:rsid w:val="008122D3"/>
    <w:rsid w:val="00816BC1"/>
    <w:rsid w:val="00820424"/>
    <w:rsid w:val="0082090C"/>
    <w:rsid w:val="008227F0"/>
    <w:rsid w:val="008318F8"/>
    <w:rsid w:val="0083367A"/>
    <w:rsid w:val="008348B3"/>
    <w:rsid w:val="008348F9"/>
    <w:rsid w:val="00835C2A"/>
    <w:rsid w:val="00835D12"/>
    <w:rsid w:val="00841002"/>
    <w:rsid w:val="00850DAB"/>
    <w:rsid w:val="00850EE8"/>
    <w:rsid w:val="00855228"/>
    <w:rsid w:val="00855533"/>
    <w:rsid w:val="008561EE"/>
    <w:rsid w:val="00856670"/>
    <w:rsid w:val="00856A8B"/>
    <w:rsid w:val="00861F77"/>
    <w:rsid w:val="008648A4"/>
    <w:rsid w:val="00864ADE"/>
    <w:rsid w:val="008658E4"/>
    <w:rsid w:val="00866F1D"/>
    <w:rsid w:val="008711C9"/>
    <w:rsid w:val="00872028"/>
    <w:rsid w:val="008726CF"/>
    <w:rsid w:val="00872FAB"/>
    <w:rsid w:val="008730D3"/>
    <w:rsid w:val="00877272"/>
    <w:rsid w:val="008778FF"/>
    <w:rsid w:val="008779C7"/>
    <w:rsid w:val="008810C8"/>
    <w:rsid w:val="008819FC"/>
    <w:rsid w:val="00882444"/>
    <w:rsid w:val="00884E06"/>
    <w:rsid w:val="00884E84"/>
    <w:rsid w:val="00885767"/>
    <w:rsid w:val="00885ABD"/>
    <w:rsid w:val="00887B5E"/>
    <w:rsid w:val="0089036D"/>
    <w:rsid w:val="008921C5"/>
    <w:rsid w:val="00894D0E"/>
    <w:rsid w:val="0089572E"/>
    <w:rsid w:val="00896BE1"/>
    <w:rsid w:val="008A4B74"/>
    <w:rsid w:val="008A72C3"/>
    <w:rsid w:val="008B0C29"/>
    <w:rsid w:val="008B1039"/>
    <w:rsid w:val="008B2F77"/>
    <w:rsid w:val="008B4426"/>
    <w:rsid w:val="008B478B"/>
    <w:rsid w:val="008C0E63"/>
    <w:rsid w:val="008C16CF"/>
    <w:rsid w:val="008C347C"/>
    <w:rsid w:val="008C48DB"/>
    <w:rsid w:val="008C4F07"/>
    <w:rsid w:val="008C73F6"/>
    <w:rsid w:val="008D053D"/>
    <w:rsid w:val="008D2DBB"/>
    <w:rsid w:val="008D6253"/>
    <w:rsid w:val="008E099E"/>
    <w:rsid w:val="008E1455"/>
    <w:rsid w:val="008E23B3"/>
    <w:rsid w:val="008E3140"/>
    <w:rsid w:val="008E554C"/>
    <w:rsid w:val="008E5BC3"/>
    <w:rsid w:val="008E62B1"/>
    <w:rsid w:val="008E78A9"/>
    <w:rsid w:val="008F089D"/>
    <w:rsid w:val="008F40B5"/>
    <w:rsid w:val="008F58D1"/>
    <w:rsid w:val="008F664D"/>
    <w:rsid w:val="00900D53"/>
    <w:rsid w:val="00902EB5"/>
    <w:rsid w:val="0090354B"/>
    <w:rsid w:val="009036E9"/>
    <w:rsid w:val="00904C2F"/>
    <w:rsid w:val="00907DBF"/>
    <w:rsid w:val="00912E13"/>
    <w:rsid w:val="00920ECF"/>
    <w:rsid w:val="00920FB4"/>
    <w:rsid w:val="00921111"/>
    <w:rsid w:val="00921F48"/>
    <w:rsid w:val="009221EE"/>
    <w:rsid w:val="00922894"/>
    <w:rsid w:val="00922D88"/>
    <w:rsid w:val="00925471"/>
    <w:rsid w:val="00925BCF"/>
    <w:rsid w:val="0092632B"/>
    <w:rsid w:val="009309DF"/>
    <w:rsid w:val="00931186"/>
    <w:rsid w:val="00932F7D"/>
    <w:rsid w:val="009351D0"/>
    <w:rsid w:val="00935407"/>
    <w:rsid w:val="00935AAA"/>
    <w:rsid w:val="00940D54"/>
    <w:rsid w:val="00945098"/>
    <w:rsid w:val="00947226"/>
    <w:rsid w:val="009476F3"/>
    <w:rsid w:val="00952514"/>
    <w:rsid w:val="00953969"/>
    <w:rsid w:val="00955CED"/>
    <w:rsid w:val="00960A4E"/>
    <w:rsid w:val="00962453"/>
    <w:rsid w:val="0096322E"/>
    <w:rsid w:val="0096369C"/>
    <w:rsid w:val="0096399E"/>
    <w:rsid w:val="00963B9D"/>
    <w:rsid w:val="00964753"/>
    <w:rsid w:val="00966D85"/>
    <w:rsid w:val="00970928"/>
    <w:rsid w:val="009718B6"/>
    <w:rsid w:val="00971EF8"/>
    <w:rsid w:val="009728A0"/>
    <w:rsid w:val="009739C5"/>
    <w:rsid w:val="00973B42"/>
    <w:rsid w:val="00974974"/>
    <w:rsid w:val="00985813"/>
    <w:rsid w:val="00985D8A"/>
    <w:rsid w:val="0098620F"/>
    <w:rsid w:val="00986A11"/>
    <w:rsid w:val="00986FC9"/>
    <w:rsid w:val="00987E0D"/>
    <w:rsid w:val="00991047"/>
    <w:rsid w:val="009936B7"/>
    <w:rsid w:val="00994632"/>
    <w:rsid w:val="00995237"/>
    <w:rsid w:val="00995C90"/>
    <w:rsid w:val="00996947"/>
    <w:rsid w:val="00996FA8"/>
    <w:rsid w:val="009A1420"/>
    <w:rsid w:val="009A5B24"/>
    <w:rsid w:val="009B01AC"/>
    <w:rsid w:val="009B16D7"/>
    <w:rsid w:val="009B1860"/>
    <w:rsid w:val="009B52DA"/>
    <w:rsid w:val="009B5D02"/>
    <w:rsid w:val="009C14C9"/>
    <w:rsid w:val="009C256B"/>
    <w:rsid w:val="009C2CFD"/>
    <w:rsid w:val="009C3508"/>
    <w:rsid w:val="009C3AA5"/>
    <w:rsid w:val="009C559E"/>
    <w:rsid w:val="009C5B74"/>
    <w:rsid w:val="009C608D"/>
    <w:rsid w:val="009C6283"/>
    <w:rsid w:val="009C6678"/>
    <w:rsid w:val="009D06A6"/>
    <w:rsid w:val="009D16F4"/>
    <w:rsid w:val="009D2156"/>
    <w:rsid w:val="009D2287"/>
    <w:rsid w:val="009D355C"/>
    <w:rsid w:val="009D4893"/>
    <w:rsid w:val="009D5264"/>
    <w:rsid w:val="009D5F23"/>
    <w:rsid w:val="009D675B"/>
    <w:rsid w:val="009D731D"/>
    <w:rsid w:val="009E047F"/>
    <w:rsid w:val="009E244F"/>
    <w:rsid w:val="009F008C"/>
    <w:rsid w:val="009F27E7"/>
    <w:rsid w:val="009F3C4A"/>
    <w:rsid w:val="009F6903"/>
    <w:rsid w:val="009F707D"/>
    <w:rsid w:val="00A03978"/>
    <w:rsid w:val="00A04F6F"/>
    <w:rsid w:val="00A075CD"/>
    <w:rsid w:val="00A10733"/>
    <w:rsid w:val="00A1544B"/>
    <w:rsid w:val="00A17C0B"/>
    <w:rsid w:val="00A17D78"/>
    <w:rsid w:val="00A20225"/>
    <w:rsid w:val="00A212A9"/>
    <w:rsid w:val="00A2137B"/>
    <w:rsid w:val="00A22928"/>
    <w:rsid w:val="00A231BF"/>
    <w:rsid w:val="00A243D7"/>
    <w:rsid w:val="00A27FA9"/>
    <w:rsid w:val="00A3005F"/>
    <w:rsid w:val="00A309D0"/>
    <w:rsid w:val="00A33BC1"/>
    <w:rsid w:val="00A366D8"/>
    <w:rsid w:val="00A36CA0"/>
    <w:rsid w:val="00A37170"/>
    <w:rsid w:val="00A4117B"/>
    <w:rsid w:val="00A418E6"/>
    <w:rsid w:val="00A42600"/>
    <w:rsid w:val="00A428FE"/>
    <w:rsid w:val="00A42E88"/>
    <w:rsid w:val="00A432AE"/>
    <w:rsid w:val="00A51F6A"/>
    <w:rsid w:val="00A53CC1"/>
    <w:rsid w:val="00A54D1F"/>
    <w:rsid w:val="00A552EB"/>
    <w:rsid w:val="00A557C4"/>
    <w:rsid w:val="00A603A3"/>
    <w:rsid w:val="00A61B52"/>
    <w:rsid w:val="00A6569F"/>
    <w:rsid w:val="00A6581E"/>
    <w:rsid w:val="00A7144A"/>
    <w:rsid w:val="00A71906"/>
    <w:rsid w:val="00A7207F"/>
    <w:rsid w:val="00A72513"/>
    <w:rsid w:val="00A7471C"/>
    <w:rsid w:val="00A77031"/>
    <w:rsid w:val="00A773A4"/>
    <w:rsid w:val="00A77809"/>
    <w:rsid w:val="00A77E4C"/>
    <w:rsid w:val="00A80C5E"/>
    <w:rsid w:val="00A82C66"/>
    <w:rsid w:val="00A85F01"/>
    <w:rsid w:val="00A86708"/>
    <w:rsid w:val="00A87EA9"/>
    <w:rsid w:val="00A92E44"/>
    <w:rsid w:val="00A963CF"/>
    <w:rsid w:val="00AA05F3"/>
    <w:rsid w:val="00AA09A6"/>
    <w:rsid w:val="00AA190F"/>
    <w:rsid w:val="00AA256E"/>
    <w:rsid w:val="00AA3C6A"/>
    <w:rsid w:val="00AA3F4D"/>
    <w:rsid w:val="00AA6028"/>
    <w:rsid w:val="00AA67B4"/>
    <w:rsid w:val="00AB2A2B"/>
    <w:rsid w:val="00AB6187"/>
    <w:rsid w:val="00AB62CD"/>
    <w:rsid w:val="00AB6327"/>
    <w:rsid w:val="00AB78C7"/>
    <w:rsid w:val="00AC2B85"/>
    <w:rsid w:val="00AC4B17"/>
    <w:rsid w:val="00AC639C"/>
    <w:rsid w:val="00AC779F"/>
    <w:rsid w:val="00AD115B"/>
    <w:rsid w:val="00AD20C4"/>
    <w:rsid w:val="00AD36E6"/>
    <w:rsid w:val="00AD3913"/>
    <w:rsid w:val="00AD45FA"/>
    <w:rsid w:val="00AD5019"/>
    <w:rsid w:val="00AE1D7C"/>
    <w:rsid w:val="00AE3D2B"/>
    <w:rsid w:val="00AE66C6"/>
    <w:rsid w:val="00AF02AD"/>
    <w:rsid w:val="00AF0A17"/>
    <w:rsid w:val="00AF165E"/>
    <w:rsid w:val="00AF16A3"/>
    <w:rsid w:val="00AF1A26"/>
    <w:rsid w:val="00AF263F"/>
    <w:rsid w:val="00AF2694"/>
    <w:rsid w:val="00AF3AF6"/>
    <w:rsid w:val="00AF3BFE"/>
    <w:rsid w:val="00AF42CF"/>
    <w:rsid w:val="00AF448A"/>
    <w:rsid w:val="00AF6F8C"/>
    <w:rsid w:val="00AF7651"/>
    <w:rsid w:val="00AF7796"/>
    <w:rsid w:val="00B06E28"/>
    <w:rsid w:val="00B06F21"/>
    <w:rsid w:val="00B10E90"/>
    <w:rsid w:val="00B1102C"/>
    <w:rsid w:val="00B15A2D"/>
    <w:rsid w:val="00B16C23"/>
    <w:rsid w:val="00B16DBB"/>
    <w:rsid w:val="00B17B30"/>
    <w:rsid w:val="00B218BC"/>
    <w:rsid w:val="00B235AF"/>
    <w:rsid w:val="00B25B35"/>
    <w:rsid w:val="00B34B80"/>
    <w:rsid w:val="00B353DF"/>
    <w:rsid w:val="00B35587"/>
    <w:rsid w:val="00B36882"/>
    <w:rsid w:val="00B369BD"/>
    <w:rsid w:val="00B374D3"/>
    <w:rsid w:val="00B378E0"/>
    <w:rsid w:val="00B40C6B"/>
    <w:rsid w:val="00B41AFA"/>
    <w:rsid w:val="00B4367C"/>
    <w:rsid w:val="00B44938"/>
    <w:rsid w:val="00B45EBD"/>
    <w:rsid w:val="00B46FC3"/>
    <w:rsid w:val="00B4798B"/>
    <w:rsid w:val="00B47C6F"/>
    <w:rsid w:val="00B5067D"/>
    <w:rsid w:val="00B53960"/>
    <w:rsid w:val="00B53E09"/>
    <w:rsid w:val="00B54B90"/>
    <w:rsid w:val="00B56EFD"/>
    <w:rsid w:val="00B56F43"/>
    <w:rsid w:val="00B57337"/>
    <w:rsid w:val="00B61B2D"/>
    <w:rsid w:val="00B627E4"/>
    <w:rsid w:val="00B65F5F"/>
    <w:rsid w:val="00B6648D"/>
    <w:rsid w:val="00B719B4"/>
    <w:rsid w:val="00B7374E"/>
    <w:rsid w:val="00B745F8"/>
    <w:rsid w:val="00B748AF"/>
    <w:rsid w:val="00B757AD"/>
    <w:rsid w:val="00B76979"/>
    <w:rsid w:val="00B80A8A"/>
    <w:rsid w:val="00B825B8"/>
    <w:rsid w:val="00B82D1A"/>
    <w:rsid w:val="00B838A5"/>
    <w:rsid w:val="00B85916"/>
    <w:rsid w:val="00B86315"/>
    <w:rsid w:val="00B869A6"/>
    <w:rsid w:val="00B87752"/>
    <w:rsid w:val="00B90F55"/>
    <w:rsid w:val="00B915DB"/>
    <w:rsid w:val="00B935C4"/>
    <w:rsid w:val="00B93F04"/>
    <w:rsid w:val="00B970BD"/>
    <w:rsid w:val="00BA023A"/>
    <w:rsid w:val="00BA1236"/>
    <w:rsid w:val="00BA35C9"/>
    <w:rsid w:val="00BA4C19"/>
    <w:rsid w:val="00BA564F"/>
    <w:rsid w:val="00BA5A19"/>
    <w:rsid w:val="00BA79CE"/>
    <w:rsid w:val="00BB0B85"/>
    <w:rsid w:val="00BB1E0B"/>
    <w:rsid w:val="00BB2E23"/>
    <w:rsid w:val="00BB3F04"/>
    <w:rsid w:val="00BB4065"/>
    <w:rsid w:val="00BB7761"/>
    <w:rsid w:val="00BB7DB0"/>
    <w:rsid w:val="00BC054B"/>
    <w:rsid w:val="00BC12D7"/>
    <w:rsid w:val="00BC4911"/>
    <w:rsid w:val="00BC65A6"/>
    <w:rsid w:val="00BD3B38"/>
    <w:rsid w:val="00BD40B9"/>
    <w:rsid w:val="00BD45E7"/>
    <w:rsid w:val="00BD7338"/>
    <w:rsid w:val="00BD786B"/>
    <w:rsid w:val="00BD7B34"/>
    <w:rsid w:val="00BD7D47"/>
    <w:rsid w:val="00BD7D51"/>
    <w:rsid w:val="00BE219B"/>
    <w:rsid w:val="00BE241A"/>
    <w:rsid w:val="00BE368C"/>
    <w:rsid w:val="00BF31D1"/>
    <w:rsid w:val="00BF7BEA"/>
    <w:rsid w:val="00C00063"/>
    <w:rsid w:val="00C01516"/>
    <w:rsid w:val="00C01B5F"/>
    <w:rsid w:val="00C04342"/>
    <w:rsid w:val="00C05BDD"/>
    <w:rsid w:val="00C06591"/>
    <w:rsid w:val="00C06F55"/>
    <w:rsid w:val="00C07175"/>
    <w:rsid w:val="00C078A9"/>
    <w:rsid w:val="00C114CA"/>
    <w:rsid w:val="00C11557"/>
    <w:rsid w:val="00C1167D"/>
    <w:rsid w:val="00C11A13"/>
    <w:rsid w:val="00C14892"/>
    <w:rsid w:val="00C1525D"/>
    <w:rsid w:val="00C156B0"/>
    <w:rsid w:val="00C15CFC"/>
    <w:rsid w:val="00C15EAE"/>
    <w:rsid w:val="00C212DF"/>
    <w:rsid w:val="00C21A24"/>
    <w:rsid w:val="00C233A6"/>
    <w:rsid w:val="00C25829"/>
    <w:rsid w:val="00C25F89"/>
    <w:rsid w:val="00C269B2"/>
    <w:rsid w:val="00C271BF"/>
    <w:rsid w:val="00C305C6"/>
    <w:rsid w:val="00C324CD"/>
    <w:rsid w:val="00C35B82"/>
    <w:rsid w:val="00C36FAC"/>
    <w:rsid w:val="00C41213"/>
    <w:rsid w:val="00C44A20"/>
    <w:rsid w:val="00C45F57"/>
    <w:rsid w:val="00C475C7"/>
    <w:rsid w:val="00C505B4"/>
    <w:rsid w:val="00C52022"/>
    <w:rsid w:val="00C54114"/>
    <w:rsid w:val="00C54937"/>
    <w:rsid w:val="00C55571"/>
    <w:rsid w:val="00C61916"/>
    <w:rsid w:val="00C62553"/>
    <w:rsid w:val="00C70093"/>
    <w:rsid w:val="00C7040F"/>
    <w:rsid w:val="00C72650"/>
    <w:rsid w:val="00C72B5E"/>
    <w:rsid w:val="00C739E6"/>
    <w:rsid w:val="00C745B2"/>
    <w:rsid w:val="00C75300"/>
    <w:rsid w:val="00C758C8"/>
    <w:rsid w:val="00C76129"/>
    <w:rsid w:val="00C8056B"/>
    <w:rsid w:val="00C81D4B"/>
    <w:rsid w:val="00C8366A"/>
    <w:rsid w:val="00C85CD3"/>
    <w:rsid w:val="00C90557"/>
    <w:rsid w:val="00C90727"/>
    <w:rsid w:val="00C91933"/>
    <w:rsid w:val="00C91BA6"/>
    <w:rsid w:val="00C921C2"/>
    <w:rsid w:val="00C9423A"/>
    <w:rsid w:val="00C94FCF"/>
    <w:rsid w:val="00C95428"/>
    <w:rsid w:val="00C96D5D"/>
    <w:rsid w:val="00CA1B7A"/>
    <w:rsid w:val="00CA1BDE"/>
    <w:rsid w:val="00CA45B7"/>
    <w:rsid w:val="00CA4D9B"/>
    <w:rsid w:val="00CA530C"/>
    <w:rsid w:val="00CA59F1"/>
    <w:rsid w:val="00CB0BAD"/>
    <w:rsid w:val="00CB2C69"/>
    <w:rsid w:val="00CC0C9D"/>
    <w:rsid w:val="00CC31C3"/>
    <w:rsid w:val="00CC33E0"/>
    <w:rsid w:val="00CC3EF6"/>
    <w:rsid w:val="00CC4086"/>
    <w:rsid w:val="00CC70EC"/>
    <w:rsid w:val="00CC7328"/>
    <w:rsid w:val="00CC7C0B"/>
    <w:rsid w:val="00CD0504"/>
    <w:rsid w:val="00CD1147"/>
    <w:rsid w:val="00CD1DA1"/>
    <w:rsid w:val="00CD251B"/>
    <w:rsid w:val="00CD44CA"/>
    <w:rsid w:val="00CD60BD"/>
    <w:rsid w:val="00CD6825"/>
    <w:rsid w:val="00CD7171"/>
    <w:rsid w:val="00CD779E"/>
    <w:rsid w:val="00CE0E69"/>
    <w:rsid w:val="00CE1773"/>
    <w:rsid w:val="00CE44B3"/>
    <w:rsid w:val="00CE4B74"/>
    <w:rsid w:val="00CE584A"/>
    <w:rsid w:val="00CE5B50"/>
    <w:rsid w:val="00CE7430"/>
    <w:rsid w:val="00CF17C7"/>
    <w:rsid w:val="00CF1FC4"/>
    <w:rsid w:val="00CF2AFB"/>
    <w:rsid w:val="00CF517D"/>
    <w:rsid w:val="00CF66FB"/>
    <w:rsid w:val="00D00FCB"/>
    <w:rsid w:val="00D03B9A"/>
    <w:rsid w:val="00D03F40"/>
    <w:rsid w:val="00D05741"/>
    <w:rsid w:val="00D06610"/>
    <w:rsid w:val="00D113DC"/>
    <w:rsid w:val="00D115B0"/>
    <w:rsid w:val="00D12BB7"/>
    <w:rsid w:val="00D2136C"/>
    <w:rsid w:val="00D21B44"/>
    <w:rsid w:val="00D229E0"/>
    <w:rsid w:val="00D24977"/>
    <w:rsid w:val="00D2534F"/>
    <w:rsid w:val="00D25489"/>
    <w:rsid w:val="00D263F3"/>
    <w:rsid w:val="00D4010D"/>
    <w:rsid w:val="00D420D3"/>
    <w:rsid w:val="00D42923"/>
    <w:rsid w:val="00D519BE"/>
    <w:rsid w:val="00D531FA"/>
    <w:rsid w:val="00D54408"/>
    <w:rsid w:val="00D55198"/>
    <w:rsid w:val="00D55B88"/>
    <w:rsid w:val="00D569D4"/>
    <w:rsid w:val="00D63764"/>
    <w:rsid w:val="00D647EF"/>
    <w:rsid w:val="00D648F0"/>
    <w:rsid w:val="00D66BC4"/>
    <w:rsid w:val="00D67E77"/>
    <w:rsid w:val="00D70561"/>
    <w:rsid w:val="00D722BD"/>
    <w:rsid w:val="00D73989"/>
    <w:rsid w:val="00D744C3"/>
    <w:rsid w:val="00D747C5"/>
    <w:rsid w:val="00D76075"/>
    <w:rsid w:val="00D8026A"/>
    <w:rsid w:val="00D81633"/>
    <w:rsid w:val="00D81693"/>
    <w:rsid w:val="00D822CF"/>
    <w:rsid w:val="00D87324"/>
    <w:rsid w:val="00D9023A"/>
    <w:rsid w:val="00D917E6"/>
    <w:rsid w:val="00D91BAB"/>
    <w:rsid w:val="00D92151"/>
    <w:rsid w:val="00D926D9"/>
    <w:rsid w:val="00D92BCD"/>
    <w:rsid w:val="00D942B1"/>
    <w:rsid w:val="00D94805"/>
    <w:rsid w:val="00D956E1"/>
    <w:rsid w:val="00D960E7"/>
    <w:rsid w:val="00D96802"/>
    <w:rsid w:val="00D979A2"/>
    <w:rsid w:val="00DA0F5D"/>
    <w:rsid w:val="00DA1019"/>
    <w:rsid w:val="00DA1A21"/>
    <w:rsid w:val="00DA5EE3"/>
    <w:rsid w:val="00DA6197"/>
    <w:rsid w:val="00DA65A0"/>
    <w:rsid w:val="00DA7474"/>
    <w:rsid w:val="00DA7D6F"/>
    <w:rsid w:val="00DB10A5"/>
    <w:rsid w:val="00DB2428"/>
    <w:rsid w:val="00DB41F3"/>
    <w:rsid w:val="00DB5425"/>
    <w:rsid w:val="00DB57D5"/>
    <w:rsid w:val="00DC1893"/>
    <w:rsid w:val="00DC2202"/>
    <w:rsid w:val="00DC3923"/>
    <w:rsid w:val="00DC5BC4"/>
    <w:rsid w:val="00DC684E"/>
    <w:rsid w:val="00DD02CD"/>
    <w:rsid w:val="00DD09FE"/>
    <w:rsid w:val="00DD1066"/>
    <w:rsid w:val="00DD4C64"/>
    <w:rsid w:val="00DE0E5B"/>
    <w:rsid w:val="00DE1135"/>
    <w:rsid w:val="00DE1720"/>
    <w:rsid w:val="00DE1AA8"/>
    <w:rsid w:val="00DE31B8"/>
    <w:rsid w:val="00DE4330"/>
    <w:rsid w:val="00DE433A"/>
    <w:rsid w:val="00DE58B1"/>
    <w:rsid w:val="00DE633F"/>
    <w:rsid w:val="00DE6780"/>
    <w:rsid w:val="00DE68BB"/>
    <w:rsid w:val="00DE7BEC"/>
    <w:rsid w:val="00DF016B"/>
    <w:rsid w:val="00DF2093"/>
    <w:rsid w:val="00DF235B"/>
    <w:rsid w:val="00DF2F6E"/>
    <w:rsid w:val="00DF3414"/>
    <w:rsid w:val="00DF4438"/>
    <w:rsid w:val="00DF44D5"/>
    <w:rsid w:val="00DF465E"/>
    <w:rsid w:val="00DF4B57"/>
    <w:rsid w:val="00DF6052"/>
    <w:rsid w:val="00DF63D2"/>
    <w:rsid w:val="00DF6AE4"/>
    <w:rsid w:val="00DF6DAF"/>
    <w:rsid w:val="00E00627"/>
    <w:rsid w:val="00E00E19"/>
    <w:rsid w:val="00E0365C"/>
    <w:rsid w:val="00E03993"/>
    <w:rsid w:val="00E03E07"/>
    <w:rsid w:val="00E0604B"/>
    <w:rsid w:val="00E10563"/>
    <w:rsid w:val="00E10729"/>
    <w:rsid w:val="00E10A61"/>
    <w:rsid w:val="00E115A5"/>
    <w:rsid w:val="00E13F41"/>
    <w:rsid w:val="00E1473E"/>
    <w:rsid w:val="00E15206"/>
    <w:rsid w:val="00E16FB0"/>
    <w:rsid w:val="00E17E00"/>
    <w:rsid w:val="00E20E9A"/>
    <w:rsid w:val="00E2219C"/>
    <w:rsid w:val="00E2541D"/>
    <w:rsid w:val="00E27230"/>
    <w:rsid w:val="00E27986"/>
    <w:rsid w:val="00E27B5C"/>
    <w:rsid w:val="00E306FA"/>
    <w:rsid w:val="00E34C56"/>
    <w:rsid w:val="00E41584"/>
    <w:rsid w:val="00E418E9"/>
    <w:rsid w:val="00E42366"/>
    <w:rsid w:val="00E42572"/>
    <w:rsid w:val="00E45B3E"/>
    <w:rsid w:val="00E45F44"/>
    <w:rsid w:val="00E478E6"/>
    <w:rsid w:val="00E47F4B"/>
    <w:rsid w:val="00E51C02"/>
    <w:rsid w:val="00E51D0C"/>
    <w:rsid w:val="00E529BD"/>
    <w:rsid w:val="00E52C32"/>
    <w:rsid w:val="00E542C7"/>
    <w:rsid w:val="00E55B1C"/>
    <w:rsid w:val="00E56A45"/>
    <w:rsid w:val="00E57F3A"/>
    <w:rsid w:val="00E622B1"/>
    <w:rsid w:val="00E63E24"/>
    <w:rsid w:val="00E64020"/>
    <w:rsid w:val="00E65825"/>
    <w:rsid w:val="00E66E92"/>
    <w:rsid w:val="00E67AE6"/>
    <w:rsid w:val="00E67D29"/>
    <w:rsid w:val="00E71EF9"/>
    <w:rsid w:val="00E72085"/>
    <w:rsid w:val="00E72B11"/>
    <w:rsid w:val="00E75BC9"/>
    <w:rsid w:val="00E7613E"/>
    <w:rsid w:val="00E76724"/>
    <w:rsid w:val="00E76A71"/>
    <w:rsid w:val="00E815AB"/>
    <w:rsid w:val="00E81C59"/>
    <w:rsid w:val="00E81D6C"/>
    <w:rsid w:val="00E82029"/>
    <w:rsid w:val="00E82E62"/>
    <w:rsid w:val="00E84538"/>
    <w:rsid w:val="00E84E0C"/>
    <w:rsid w:val="00E85024"/>
    <w:rsid w:val="00E85039"/>
    <w:rsid w:val="00E879EA"/>
    <w:rsid w:val="00E901E8"/>
    <w:rsid w:val="00E90E2F"/>
    <w:rsid w:val="00E9125D"/>
    <w:rsid w:val="00E91513"/>
    <w:rsid w:val="00E9447C"/>
    <w:rsid w:val="00EA2506"/>
    <w:rsid w:val="00EA66BF"/>
    <w:rsid w:val="00EA684E"/>
    <w:rsid w:val="00EB2657"/>
    <w:rsid w:val="00EB40B4"/>
    <w:rsid w:val="00EB681C"/>
    <w:rsid w:val="00EB6DF9"/>
    <w:rsid w:val="00EB740F"/>
    <w:rsid w:val="00EB7756"/>
    <w:rsid w:val="00EB7F91"/>
    <w:rsid w:val="00EC3A32"/>
    <w:rsid w:val="00EC3FF1"/>
    <w:rsid w:val="00EC5621"/>
    <w:rsid w:val="00ED238B"/>
    <w:rsid w:val="00ED3C01"/>
    <w:rsid w:val="00ED4398"/>
    <w:rsid w:val="00ED4620"/>
    <w:rsid w:val="00ED5CA9"/>
    <w:rsid w:val="00ED6C37"/>
    <w:rsid w:val="00EE0F5B"/>
    <w:rsid w:val="00EE1BFF"/>
    <w:rsid w:val="00EE2BCE"/>
    <w:rsid w:val="00EE3306"/>
    <w:rsid w:val="00EE361F"/>
    <w:rsid w:val="00EE3B44"/>
    <w:rsid w:val="00EE4052"/>
    <w:rsid w:val="00EE5C7C"/>
    <w:rsid w:val="00EE70D3"/>
    <w:rsid w:val="00EF11C6"/>
    <w:rsid w:val="00EF4616"/>
    <w:rsid w:val="00EF5598"/>
    <w:rsid w:val="00EF663B"/>
    <w:rsid w:val="00EF67BC"/>
    <w:rsid w:val="00EF6A5B"/>
    <w:rsid w:val="00F0001B"/>
    <w:rsid w:val="00F0013B"/>
    <w:rsid w:val="00F00339"/>
    <w:rsid w:val="00F0254D"/>
    <w:rsid w:val="00F042EA"/>
    <w:rsid w:val="00F063E1"/>
    <w:rsid w:val="00F068AB"/>
    <w:rsid w:val="00F07D70"/>
    <w:rsid w:val="00F102FA"/>
    <w:rsid w:val="00F1121E"/>
    <w:rsid w:val="00F11D0E"/>
    <w:rsid w:val="00F1492E"/>
    <w:rsid w:val="00F15DB1"/>
    <w:rsid w:val="00F16EEE"/>
    <w:rsid w:val="00F17875"/>
    <w:rsid w:val="00F17FA8"/>
    <w:rsid w:val="00F20EC2"/>
    <w:rsid w:val="00F21271"/>
    <w:rsid w:val="00F22F59"/>
    <w:rsid w:val="00F23459"/>
    <w:rsid w:val="00F2448F"/>
    <w:rsid w:val="00F261B9"/>
    <w:rsid w:val="00F261D3"/>
    <w:rsid w:val="00F31CE7"/>
    <w:rsid w:val="00F34686"/>
    <w:rsid w:val="00F3499F"/>
    <w:rsid w:val="00F357FC"/>
    <w:rsid w:val="00F3755F"/>
    <w:rsid w:val="00F400A2"/>
    <w:rsid w:val="00F42819"/>
    <w:rsid w:val="00F44600"/>
    <w:rsid w:val="00F44608"/>
    <w:rsid w:val="00F4468D"/>
    <w:rsid w:val="00F453CB"/>
    <w:rsid w:val="00F45558"/>
    <w:rsid w:val="00F46CD9"/>
    <w:rsid w:val="00F477F8"/>
    <w:rsid w:val="00F530CF"/>
    <w:rsid w:val="00F551A3"/>
    <w:rsid w:val="00F56839"/>
    <w:rsid w:val="00F56C7E"/>
    <w:rsid w:val="00F56D36"/>
    <w:rsid w:val="00F56E0C"/>
    <w:rsid w:val="00F57781"/>
    <w:rsid w:val="00F6267F"/>
    <w:rsid w:val="00F62857"/>
    <w:rsid w:val="00F63F6B"/>
    <w:rsid w:val="00F71700"/>
    <w:rsid w:val="00F73C1A"/>
    <w:rsid w:val="00F80144"/>
    <w:rsid w:val="00F80969"/>
    <w:rsid w:val="00F80F87"/>
    <w:rsid w:val="00F8147C"/>
    <w:rsid w:val="00F82101"/>
    <w:rsid w:val="00F826BD"/>
    <w:rsid w:val="00F82725"/>
    <w:rsid w:val="00F82B05"/>
    <w:rsid w:val="00F83FD9"/>
    <w:rsid w:val="00F86452"/>
    <w:rsid w:val="00F91DEE"/>
    <w:rsid w:val="00F92CAB"/>
    <w:rsid w:val="00F93D91"/>
    <w:rsid w:val="00F946A5"/>
    <w:rsid w:val="00F95401"/>
    <w:rsid w:val="00FA015D"/>
    <w:rsid w:val="00FA077B"/>
    <w:rsid w:val="00FA27BF"/>
    <w:rsid w:val="00FA3A95"/>
    <w:rsid w:val="00FA55AA"/>
    <w:rsid w:val="00FA678C"/>
    <w:rsid w:val="00FB19B5"/>
    <w:rsid w:val="00FB2A2B"/>
    <w:rsid w:val="00FB41F8"/>
    <w:rsid w:val="00FB514B"/>
    <w:rsid w:val="00FB78E0"/>
    <w:rsid w:val="00FC3C43"/>
    <w:rsid w:val="00FC3DA8"/>
    <w:rsid w:val="00FC5A25"/>
    <w:rsid w:val="00FC60F0"/>
    <w:rsid w:val="00FC6375"/>
    <w:rsid w:val="00FC6D36"/>
    <w:rsid w:val="00FD0881"/>
    <w:rsid w:val="00FD0EF9"/>
    <w:rsid w:val="00FD20C6"/>
    <w:rsid w:val="00FD4998"/>
    <w:rsid w:val="00FD52C9"/>
    <w:rsid w:val="00FD6A5D"/>
    <w:rsid w:val="00FD6A9D"/>
    <w:rsid w:val="00FD6EC8"/>
    <w:rsid w:val="00FE0B15"/>
    <w:rsid w:val="00FE182C"/>
    <w:rsid w:val="00FE27EC"/>
    <w:rsid w:val="00FE45A8"/>
    <w:rsid w:val="00FE51B6"/>
    <w:rsid w:val="00FE5B4E"/>
    <w:rsid w:val="00FE639A"/>
    <w:rsid w:val="00FE69C2"/>
    <w:rsid w:val="00FE6F3F"/>
    <w:rsid w:val="00FE771F"/>
    <w:rsid w:val="00FF0A47"/>
    <w:rsid w:val="00FF192B"/>
    <w:rsid w:val="00FF1CBA"/>
    <w:rsid w:val="00FF20B9"/>
    <w:rsid w:val="00FF5049"/>
    <w:rsid w:val="00FF5D29"/>
    <w:rsid w:val="01007E42"/>
    <w:rsid w:val="01026223"/>
    <w:rsid w:val="01275D20"/>
    <w:rsid w:val="01583385"/>
    <w:rsid w:val="017734C4"/>
    <w:rsid w:val="01864D83"/>
    <w:rsid w:val="019A5532"/>
    <w:rsid w:val="019B685C"/>
    <w:rsid w:val="02044F27"/>
    <w:rsid w:val="02150AC7"/>
    <w:rsid w:val="02173937"/>
    <w:rsid w:val="021A09FD"/>
    <w:rsid w:val="02311433"/>
    <w:rsid w:val="0238643A"/>
    <w:rsid w:val="024A2175"/>
    <w:rsid w:val="025A34EF"/>
    <w:rsid w:val="028D3811"/>
    <w:rsid w:val="029E7AD0"/>
    <w:rsid w:val="02A62291"/>
    <w:rsid w:val="02C72207"/>
    <w:rsid w:val="02F545EC"/>
    <w:rsid w:val="02FA30D3"/>
    <w:rsid w:val="02FA52FE"/>
    <w:rsid w:val="03090322"/>
    <w:rsid w:val="030E113A"/>
    <w:rsid w:val="032759B1"/>
    <w:rsid w:val="03300F4C"/>
    <w:rsid w:val="033B6E7D"/>
    <w:rsid w:val="034A3564"/>
    <w:rsid w:val="03A07AD7"/>
    <w:rsid w:val="03BF5C9E"/>
    <w:rsid w:val="03EB5766"/>
    <w:rsid w:val="03F1578E"/>
    <w:rsid w:val="0439713F"/>
    <w:rsid w:val="04420AC2"/>
    <w:rsid w:val="047A0AE3"/>
    <w:rsid w:val="04973F96"/>
    <w:rsid w:val="04AC72EC"/>
    <w:rsid w:val="04EF43C3"/>
    <w:rsid w:val="04FD0120"/>
    <w:rsid w:val="05190704"/>
    <w:rsid w:val="056106F1"/>
    <w:rsid w:val="05776166"/>
    <w:rsid w:val="057B7AFF"/>
    <w:rsid w:val="0580226C"/>
    <w:rsid w:val="058645FB"/>
    <w:rsid w:val="058F34B0"/>
    <w:rsid w:val="05987E60"/>
    <w:rsid w:val="05AA531D"/>
    <w:rsid w:val="05CD3179"/>
    <w:rsid w:val="05D067D9"/>
    <w:rsid w:val="05F477B7"/>
    <w:rsid w:val="061604B3"/>
    <w:rsid w:val="06257CC3"/>
    <w:rsid w:val="06660810"/>
    <w:rsid w:val="06750C66"/>
    <w:rsid w:val="06764670"/>
    <w:rsid w:val="06B528D7"/>
    <w:rsid w:val="06B87AE8"/>
    <w:rsid w:val="06C35F8E"/>
    <w:rsid w:val="06DB7470"/>
    <w:rsid w:val="06E51B6B"/>
    <w:rsid w:val="06EF58D3"/>
    <w:rsid w:val="07116147"/>
    <w:rsid w:val="07200E3F"/>
    <w:rsid w:val="073D0CEA"/>
    <w:rsid w:val="07445F64"/>
    <w:rsid w:val="075E76FE"/>
    <w:rsid w:val="0781603E"/>
    <w:rsid w:val="079B0BC0"/>
    <w:rsid w:val="07B216D8"/>
    <w:rsid w:val="07E07FF3"/>
    <w:rsid w:val="085241F0"/>
    <w:rsid w:val="0855720F"/>
    <w:rsid w:val="085B4F44"/>
    <w:rsid w:val="088D5F5C"/>
    <w:rsid w:val="08A85219"/>
    <w:rsid w:val="08A90D2D"/>
    <w:rsid w:val="08C005A2"/>
    <w:rsid w:val="08EB30F4"/>
    <w:rsid w:val="09037F14"/>
    <w:rsid w:val="090833CC"/>
    <w:rsid w:val="0916721C"/>
    <w:rsid w:val="093C63C5"/>
    <w:rsid w:val="09644C54"/>
    <w:rsid w:val="096D5AA7"/>
    <w:rsid w:val="098F0E5D"/>
    <w:rsid w:val="0997077C"/>
    <w:rsid w:val="09DC44C1"/>
    <w:rsid w:val="09E0143B"/>
    <w:rsid w:val="09FD11BF"/>
    <w:rsid w:val="0A260FC3"/>
    <w:rsid w:val="0A2B6A3F"/>
    <w:rsid w:val="0A540B39"/>
    <w:rsid w:val="0A611299"/>
    <w:rsid w:val="0A6455E1"/>
    <w:rsid w:val="0A8801B6"/>
    <w:rsid w:val="0A9F5217"/>
    <w:rsid w:val="0AB823C4"/>
    <w:rsid w:val="0ACA4546"/>
    <w:rsid w:val="0ADE3B76"/>
    <w:rsid w:val="0AE61DC4"/>
    <w:rsid w:val="0B0968EC"/>
    <w:rsid w:val="0B135B15"/>
    <w:rsid w:val="0B4278E4"/>
    <w:rsid w:val="0B8D0492"/>
    <w:rsid w:val="0B906C95"/>
    <w:rsid w:val="0BA17A99"/>
    <w:rsid w:val="0BA525D8"/>
    <w:rsid w:val="0BCB2D68"/>
    <w:rsid w:val="0BD10048"/>
    <w:rsid w:val="0BD50CE3"/>
    <w:rsid w:val="0BE620C5"/>
    <w:rsid w:val="0C2F6006"/>
    <w:rsid w:val="0C392C1F"/>
    <w:rsid w:val="0C426CB3"/>
    <w:rsid w:val="0C5056AF"/>
    <w:rsid w:val="0C5B37C6"/>
    <w:rsid w:val="0C5B3F21"/>
    <w:rsid w:val="0C602928"/>
    <w:rsid w:val="0C7156BE"/>
    <w:rsid w:val="0C8352C9"/>
    <w:rsid w:val="0C88726E"/>
    <w:rsid w:val="0CCB7B51"/>
    <w:rsid w:val="0CCF0636"/>
    <w:rsid w:val="0CD83AA7"/>
    <w:rsid w:val="0CF06861"/>
    <w:rsid w:val="0D08638B"/>
    <w:rsid w:val="0D490DFB"/>
    <w:rsid w:val="0D7C6716"/>
    <w:rsid w:val="0DC134A7"/>
    <w:rsid w:val="0E014932"/>
    <w:rsid w:val="0E155B5A"/>
    <w:rsid w:val="0E251B82"/>
    <w:rsid w:val="0E4D03C4"/>
    <w:rsid w:val="0E512BF8"/>
    <w:rsid w:val="0EEF4264"/>
    <w:rsid w:val="0EF20E9B"/>
    <w:rsid w:val="0EF46240"/>
    <w:rsid w:val="0EFA5499"/>
    <w:rsid w:val="0F032819"/>
    <w:rsid w:val="0F296557"/>
    <w:rsid w:val="0F3F68BD"/>
    <w:rsid w:val="0F465E03"/>
    <w:rsid w:val="0F56503F"/>
    <w:rsid w:val="0F681E22"/>
    <w:rsid w:val="0F6C20F8"/>
    <w:rsid w:val="0F9262E5"/>
    <w:rsid w:val="0FC1070A"/>
    <w:rsid w:val="0FCD3553"/>
    <w:rsid w:val="0FEE60A0"/>
    <w:rsid w:val="0FFA0E63"/>
    <w:rsid w:val="1001144E"/>
    <w:rsid w:val="100B5B75"/>
    <w:rsid w:val="101822F4"/>
    <w:rsid w:val="10200617"/>
    <w:rsid w:val="10390CED"/>
    <w:rsid w:val="106B2D90"/>
    <w:rsid w:val="108D7FEC"/>
    <w:rsid w:val="10A15F20"/>
    <w:rsid w:val="10C34A85"/>
    <w:rsid w:val="10DD3E24"/>
    <w:rsid w:val="10DE52EC"/>
    <w:rsid w:val="10E741A0"/>
    <w:rsid w:val="10EB0A61"/>
    <w:rsid w:val="10F84805"/>
    <w:rsid w:val="10F96CD3"/>
    <w:rsid w:val="110D477C"/>
    <w:rsid w:val="11230728"/>
    <w:rsid w:val="11301804"/>
    <w:rsid w:val="115F642C"/>
    <w:rsid w:val="11600920"/>
    <w:rsid w:val="117A5014"/>
    <w:rsid w:val="117E3EBF"/>
    <w:rsid w:val="118606DD"/>
    <w:rsid w:val="11A63895"/>
    <w:rsid w:val="11AA0E33"/>
    <w:rsid w:val="11AA3420"/>
    <w:rsid w:val="11D465DE"/>
    <w:rsid w:val="11D46EAE"/>
    <w:rsid w:val="11DE5C6A"/>
    <w:rsid w:val="11F35E10"/>
    <w:rsid w:val="121E003E"/>
    <w:rsid w:val="12235DDC"/>
    <w:rsid w:val="123238F4"/>
    <w:rsid w:val="124E6914"/>
    <w:rsid w:val="12545C6B"/>
    <w:rsid w:val="127A62D0"/>
    <w:rsid w:val="12BA51F9"/>
    <w:rsid w:val="12D84CD4"/>
    <w:rsid w:val="12F51579"/>
    <w:rsid w:val="12FD7CCA"/>
    <w:rsid w:val="13042B7A"/>
    <w:rsid w:val="131909C4"/>
    <w:rsid w:val="132319DD"/>
    <w:rsid w:val="132606A8"/>
    <w:rsid w:val="137139DD"/>
    <w:rsid w:val="13A26AA4"/>
    <w:rsid w:val="13C139AF"/>
    <w:rsid w:val="13E01C4A"/>
    <w:rsid w:val="13F761E0"/>
    <w:rsid w:val="140A6115"/>
    <w:rsid w:val="14333776"/>
    <w:rsid w:val="143A679C"/>
    <w:rsid w:val="143E5347"/>
    <w:rsid w:val="144E16AB"/>
    <w:rsid w:val="144F6715"/>
    <w:rsid w:val="14521FEF"/>
    <w:rsid w:val="14541C7F"/>
    <w:rsid w:val="145843FC"/>
    <w:rsid w:val="147A16BB"/>
    <w:rsid w:val="149B6817"/>
    <w:rsid w:val="14AA5797"/>
    <w:rsid w:val="14D80D3F"/>
    <w:rsid w:val="14EF6EF6"/>
    <w:rsid w:val="150177FB"/>
    <w:rsid w:val="15601FDF"/>
    <w:rsid w:val="156600AB"/>
    <w:rsid w:val="15667555"/>
    <w:rsid w:val="15744470"/>
    <w:rsid w:val="157E3E54"/>
    <w:rsid w:val="15A97268"/>
    <w:rsid w:val="15AD1A3F"/>
    <w:rsid w:val="15C216CC"/>
    <w:rsid w:val="15CF1DD7"/>
    <w:rsid w:val="15E224A7"/>
    <w:rsid w:val="15E37C56"/>
    <w:rsid w:val="160C46A9"/>
    <w:rsid w:val="16150220"/>
    <w:rsid w:val="164342FA"/>
    <w:rsid w:val="165770B0"/>
    <w:rsid w:val="165D6A9D"/>
    <w:rsid w:val="16635F8A"/>
    <w:rsid w:val="166E1A18"/>
    <w:rsid w:val="1675224E"/>
    <w:rsid w:val="16A22BEB"/>
    <w:rsid w:val="16CB00C0"/>
    <w:rsid w:val="16CB645F"/>
    <w:rsid w:val="16D743AB"/>
    <w:rsid w:val="16D904DF"/>
    <w:rsid w:val="171149C7"/>
    <w:rsid w:val="171820A2"/>
    <w:rsid w:val="17233A58"/>
    <w:rsid w:val="1754181D"/>
    <w:rsid w:val="17571001"/>
    <w:rsid w:val="17707BBF"/>
    <w:rsid w:val="17776970"/>
    <w:rsid w:val="179E6119"/>
    <w:rsid w:val="17AA4179"/>
    <w:rsid w:val="17BA1FA3"/>
    <w:rsid w:val="17CF624F"/>
    <w:rsid w:val="17E01949"/>
    <w:rsid w:val="17E02057"/>
    <w:rsid w:val="17ED6A33"/>
    <w:rsid w:val="18106EC5"/>
    <w:rsid w:val="181270D8"/>
    <w:rsid w:val="183A7AB3"/>
    <w:rsid w:val="18402742"/>
    <w:rsid w:val="185C4B83"/>
    <w:rsid w:val="18787ADF"/>
    <w:rsid w:val="187A7FF0"/>
    <w:rsid w:val="18AC4E05"/>
    <w:rsid w:val="18BA42B0"/>
    <w:rsid w:val="18C24DAB"/>
    <w:rsid w:val="18C94AD3"/>
    <w:rsid w:val="190136C6"/>
    <w:rsid w:val="19070D85"/>
    <w:rsid w:val="190C0B53"/>
    <w:rsid w:val="19330334"/>
    <w:rsid w:val="19410B0E"/>
    <w:rsid w:val="1958483B"/>
    <w:rsid w:val="195924DA"/>
    <w:rsid w:val="1992359E"/>
    <w:rsid w:val="19A919EE"/>
    <w:rsid w:val="19AD3DF7"/>
    <w:rsid w:val="19B50D0C"/>
    <w:rsid w:val="19E91E93"/>
    <w:rsid w:val="1A294FAC"/>
    <w:rsid w:val="1A40548D"/>
    <w:rsid w:val="1A495ECC"/>
    <w:rsid w:val="1A531751"/>
    <w:rsid w:val="1ACA77FB"/>
    <w:rsid w:val="1ACC5BF8"/>
    <w:rsid w:val="1AD774CB"/>
    <w:rsid w:val="1B0911B7"/>
    <w:rsid w:val="1B1E67F8"/>
    <w:rsid w:val="1B200CF6"/>
    <w:rsid w:val="1B390BDC"/>
    <w:rsid w:val="1B597C7E"/>
    <w:rsid w:val="1B634D6B"/>
    <w:rsid w:val="1B643008"/>
    <w:rsid w:val="1B8E7170"/>
    <w:rsid w:val="1BB17A77"/>
    <w:rsid w:val="1BC73E1F"/>
    <w:rsid w:val="1BCD48DA"/>
    <w:rsid w:val="1BDB0097"/>
    <w:rsid w:val="1BE0443F"/>
    <w:rsid w:val="1BE53E44"/>
    <w:rsid w:val="1C1A40F5"/>
    <w:rsid w:val="1C215282"/>
    <w:rsid w:val="1C443C47"/>
    <w:rsid w:val="1C471722"/>
    <w:rsid w:val="1C47468D"/>
    <w:rsid w:val="1C591153"/>
    <w:rsid w:val="1C5C588F"/>
    <w:rsid w:val="1C5D7A0C"/>
    <w:rsid w:val="1C650A0C"/>
    <w:rsid w:val="1C705992"/>
    <w:rsid w:val="1C970C7C"/>
    <w:rsid w:val="1C983F97"/>
    <w:rsid w:val="1CB1569A"/>
    <w:rsid w:val="1CB313F6"/>
    <w:rsid w:val="1CBE4B4B"/>
    <w:rsid w:val="1CDF48C5"/>
    <w:rsid w:val="1CEA2A2D"/>
    <w:rsid w:val="1CEF0D6A"/>
    <w:rsid w:val="1CF26A5C"/>
    <w:rsid w:val="1CFB6B14"/>
    <w:rsid w:val="1CFD6B12"/>
    <w:rsid w:val="1D0600A4"/>
    <w:rsid w:val="1D2D6F56"/>
    <w:rsid w:val="1D3C45B0"/>
    <w:rsid w:val="1D4028B0"/>
    <w:rsid w:val="1D596069"/>
    <w:rsid w:val="1D5A47A1"/>
    <w:rsid w:val="1D8A35A8"/>
    <w:rsid w:val="1DC064A5"/>
    <w:rsid w:val="1DDD1DE6"/>
    <w:rsid w:val="1E00462C"/>
    <w:rsid w:val="1E0052CF"/>
    <w:rsid w:val="1E0C16EA"/>
    <w:rsid w:val="1E1C5E73"/>
    <w:rsid w:val="1E234541"/>
    <w:rsid w:val="1E282FF3"/>
    <w:rsid w:val="1E2B39B6"/>
    <w:rsid w:val="1E2D5A1D"/>
    <w:rsid w:val="1E342BE6"/>
    <w:rsid w:val="1E3D5BFF"/>
    <w:rsid w:val="1E3F5B0A"/>
    <w:rsid w:val="1E402DD2"/>
    <w:rsid w:val="1E5B585E"/>
    <w:rsid w:val="1E703E54"/>
    <w:rsid w:val="1E8303B8"/>
    <w:rsid w:val="1EA0459D"/>
    <w:rsid w:val="1EA062D6"/>
    <w:rsid w:val="1EA62DBC"/>
    <w:rsid w:val="1EB21D4C"/>
    <w:rsid w:val="1ECC5D06"/>
    <w:rsid w:val="1ED42809"/>
    <w:rsid w:val="1EDC2D80"/>
    <w:rsid w:val="1F153729"/>
    <w:rsid w:val="1F384EA1"/>
    <w:rsid w:val="1F494E81"/>
    <w:rsid w:val="1F6701E5"/>
    <w:rsid w:val="1F6A2CF4"/>
    <w:rsid w:val="1F6D00BC"/>
    <w:rsid w:val="1F9F2549"/>
    <w:rsid w:val="1FB060A5"/>
    <w:rsid w:val="1FB42F8C"/>
    <w:rsid w:val="1FC374ED"/>
    <w:rsid w:val="1FCC5382"/>
    <w:rsid w:val="1FE741BD"/>
    <w:rsid w:val="1FF71BD2"/>
    <w:rsid w:val="1FF742CB"/>
    <w:rsid w:val="1FFD6FC8"/>
    <w:rsid w:val="202279CC"/>
    <w:rsid w:val="202B546B"/>
    <w:rsid w:val="20441B19"/>
    <w:rsid w:val="204D1B46"/>
    <w:rsid w:val="20520281"/>
    <w:rsid w:val="20613382"/>
    <w:rsid w:val="20663493"/>
    <w:rsid w:val="2069018D"/>
    <w:rsid w:val="20803CC9"/>
    <w:rsid w:val="20891221"/>
    <w:rsid w:val="20940B18"/>
    <w:rsid w:val="20A0219D"/>
    <w:rsid w:val="20A02230"/>
    <w:rsid w:val="20B87A68"/>
    <w:rsid w:val="20BF45FE"/>
    <w:rsid w:val="20C6666F"/>
    <w:rsid w:val="20C70459"/>
    <w:rsid w:val="20D34E96"/>
    <w:rsid w:val="2102069D"/>
    <w:rsid w:val="21082292"/>
    <w:rsid w:val="213E3E63"/>
    <w:rsid w:val="214C6062"/>
    <w:rsid w:val="214E1345"/>
    <w:rsid w:val="216849AA"/>
    <w:rsid w:val="217F6F47"/>
    <w:rsid w:val="217F7DC8"/>
    <w:rsid w:val="21C9221A"/>
    <w:rsid w:val="22160B82"/>
    <w:rsid w:val="222222BC"/>
    <w:rsid w:val="222D7E81"/>
    <w:rsid w:val="223875D1"/>
    <w:rsid w:val="223D1610"/>
    <w:rsid w:val="223F3F77"/>
    <w:rsid w:val="22631AF5"/>
    <w:rsid w:val="2297314D"/>
    <w:rsid w:val="229F23A9"/>
    <w:rsid w:val="22A279E3"/>
    <w:rsid w:val="22A37D4A"/>
    <w:rsid w:val="22BA2B41"/>
    <w:rsid w:val="22BF0053"/>
    <w:rsid w:val="22D26F9A"/>
    <w:rsid w:val="233967CC"/>
    <w:rsid w:val="23561695"/>
    <w:rsid w:val="23886FC3"/>
    <w:rsid w:val="238A4BC1"/>
    <w:rsid w:val="23B12896"/>
    <w:rsid w:val="23CB0902"/>
    <w:rsid w:val="23ED5B1A"/>
    <w:rsid w:val="23F316BB"/>
    <w:rsid w:val="24066BDB"/>
    <w:rsid w:val="24235C02"/>
    <w:rsid w:val="242D4168"/>
    <w:rsid w:val="243313E8"/>
    <w:rsid w:val="246F4494"/>
    <w:rsid w:val="24763848"/>
    <w:rsid w:val="247C12B5"/>
    <w:rsid w:val="24827E18"/>
    <w:rsid w:val="24880FB1"/>
    <w:rsid w:val="248A4D18"/>
    <w:rsid w:val="24963225"/>
    <w:rsid w:val="24A30F19"/>
    <w:rsid w:val="24A851AB"/>
    <w:rsid w:val="24DF6949"/>
    <w:rsid w:val="24F42ED8"/>
    <w:rsid w:val="250269C5"/>
    <w:rsid w:val="25126060"/>
    <w:rsid w:val="2513393D"/>
    <w:rsid w:val="253353F5"/>
    <w:rsid w:val="25377C12"/>
    <w:rsid w:val="25902E9C"/>
    <w:rsid w:val="25B0273C"/>
    <w:rsid w:val="25D21CEE"/>
    <w:rsid w:val="25D45C3E"/>
    <w:rsid w:val="25DD61F7"/>
    <w:rsid w:val="25E81861"/>
    <w:rsid w:val="25FB0182"/>
    <w:rsid w:val="26034EF6"/>
    <w:rsid w:val="260E6047"/>
    <w:rsid w:val="261875AF"/>
    <w:rsid w:val="26195E0C"/>
    <w:rsid w:val="261C1922"/>
    <w:rsid w:val="263B7010"/>
    <w:rsid w:val="263D5C2C"/>
    <w:rsid w:val="265E0581"/>
    <w:rsid w:val="265E0843"/>
    <w:rsid w:val="26834513"/>
    <w:rsid w:val="26AF716B"/>
    <w:rsid w:val="26D27249"/>
    <w:rsid w:val="26D4301E"/>
    <w:rsid w:val="26E054C2"/>
    <w:rsid w:val="26E17A5C"/>
    <w:rsid w:val="27206942"/>
    <w:rsid w:val="273C76A0"/>
    <w:rsid w:val="273D707D"/>
    <w:rsid w:val="27437FDF"/>
    <w:rsid w:val="27591248"/>
    <w:rsid w:val="276452D5"/>
    <w:rsid w:val="276A5F64"/>
    <w:rsid w:val="276E7580"/>
    <w:rsid w:val="279621F2"/>
    <w:rsid w:val="279E1806"/>
    <w:rsid w:val="279F27E3"/>
    <w:rsid w:val="27AF28A1"/>
    <w:rsid w:val="27D67955"/>
    <w:rsid w:val="281E11E4"/>
    <w:rsid w:val="28206929"/>
    <w:rsid w:val="283805C6"/>
    <w:rsid w:val="284D1502"/>
    <w:rsid w:val="28B92147"/>
    <w:rsid w:val="28BA1D43"/>
    <w:rsid w:val="28CB26F3"/>
    <w:rsid w:val="28E374EB"/>
    <w:rsid w:val="28F321E9"/>
    <w:rsid w:val="293624BD"/>
    <w:rsid w:val="294D49C5"/>
    <w:rsid w:val="29644EC3"/>
    <w:rsid w:val="29695C42"/>
    <w:rsid w:val="29834F90"/>
    <w:rsid w:val="29B844D4"/>
    <w:rsid w:val="29BA00D2"/>
    <w:rsid w:val="29BA0A21"/>
    <w:rsid w:val="29BE1781"/>
    <w:rsid w:val="29DD3F3B"/>
    <w:rsid w:val="2A19597B"/>
    <w:rsid w:val="2A23324E"/>
    <w:rsid w:val="2A38155D"/>
    <w:rsid w:val="2A61691A"/>
    <w:rsid w:val="2A6C2D68"/>
    <w:rsid w:val="2A7439F6"/>
    <w:rsid w:val="2AFD4EC5"/>
    <w:rsid w:val="2AFF1738"/>
    <w:rsid w:val="2B046437"/>
    <w:rsid w:val="2B1B420B"/>
    <w:rsid w:val="2B1C14AB"/>
    <w:rsid w:val="2B267174"/>
    <w:rsid w:val="2B376F2C"/>
    <w:rsid w:val="2B417276"/>
    <w:rsid w:val="2B536BAA"/>
    <w:rsid w:val="2B54022C"/>
    <w:rsid w:val="2B5A5895"/>
    <w:rsid w:val="2B944ACD"/>
    <w:rsid w:val="2B971961"/>
    <w:rsid w:val="2BC06835"/>
    <w:rsid w:val="2BCA5B56"/>
    <w:rsid w:val="2BE74F46"/>
    <w:rsid w:val="2BF57C61"/>
    <w:rsid w:val="2BFB06D7"/>
    <w:rsid w:val="2C1216F6"/>
    <w:rsid w:val="2C4B162F"/>
    <w:rsid w:val="2C4D60B7"/>
    <w:rsid w:val="2C852F06"/>
    <w:rsid w:val="2C8774D1"/>
    <w:rsid w:val="2C8E3C12"/>
    <w:rsid w:val="2C981CCD"/>
    <w:rsid w:val="2C9F53AF"/>
    <w:rsid w:val="2CBA641B"/>
    <w:rsid w:val="2D040C32"/>
    <w:rsid w:val="2D0757A6"/>
    <w:rsid w:val="2D2C1949"/>
    <w:rsid w:val="2D336E89"/>
    <w:rsid w:val="2D7565C1"/>
    <w:rsid w:val="2D85673B"/>
    <w:rsid w:val="2D970D3C"/>
    <w:rsid w:val="2D982E0B"/>
    <w:rsid w:val="2D9C3B84"/>
    <w:rsid w:val="2DB53B3B"/>
    <w:rsid w:val="2DCC44FF"/>
    <w:rsid w:val="2DEB3A9A"/>
    <w:rsid w:val="2E072654"/>
    <w:rsid w:val="2E074D76"/>
    <w:rsid w:val="2E1D6FFC"/>
    <w:rsid w:val="2E317DD1"/>
    <w:rsid w:val="2E3A195C"/>
    <w:rsid w:val="2E3B239C"/>
    <w:rsid w:val="2E6F38EF"/>
    <w:rsid w:val="2EC24EAE"/>
    <w:rsid w:val="2ECF2473"/>
    <w:rsid w:val="2EEF4340"/>
    <w:rsid w:val="2F9075F6"/>
    <w:rsid w:val="2F936D84"/>
    <w:rsid w:val="2F9604D9"/>
    <w:rsid w:val="2F9A594D"/>
    <w:rsid w:val="2FA01C92"/>
    <w:rsid w:val="2FBE18DB"/>
    <w:rsid w:val="2FC56C2F"/>
    <w:rsid w:val="2FDD75D7"/>
    <w:rsid w:val="2FF3519E"/>
    <w:rsid w:val="30093CDB"/>
    <w:rsid w:val="302869D4"/>
    <w:rsid w:val="304B5DEC"/>
    <w:rsid w:val="305B3E03"/>
    <w:rsid w:val="307B4A76"/>
    <w:rsid w:val="30AE4FB6"/>
    <w:rsid w:val="30B31E99"/>
    <w:rsid w:val="30F35244"/>
    <w:rsid w:val="30F57DBC"/>
    <w:rsid w:val="31003851"/>
    <w:rsid w:val="311145A1"/>
    <w:rsid w:val="3126703D"/>
    <w:rsid w:val="313279B0"/>
    <w:rsid w:val="315E3D04"/>
    <w:rsid w:val="31754A73"/>
    <w:rsid w:val="31771119"/>
    <w:rsid w:val="317F3D7D"/>
    <w:rsid w:val="318D791C"/>
    <w:rsid w:val="31960D20"/>
    <w:rsid w:val="31A0687C"/>
    <w:rsid w:val="31BB59BE"/>
    <w:rsid w:val="31CD0C24"/>
    <w:rsid w:val="31F0559B"/>
    <w:rsid w:val="31FF60CF"/>
    <w:rsid w:val="32053742"/>
    <w:rsid w:val="32142260"/>
    <w:rsid w:val="32221084"/>
    <w:rsid w:val="32235DB1"/>
    <w:rsid w:val="32292413"/>
    <w:rsid w:val="322963D4"/>
    <w:rsid w:val="32326872"/>
    <w:rsid w:val="32642296"/>
    <w:rsid w:val="3292756B"/>
    <w:rsid w:val="32A01606"/>
    <w:rsid w:val="32AC08B4"/>
    <w:rsid w:val="32C94A9C"/>
    <w:rsid w:val="32D305D1"/>
    <w:rsid w:val="32DC7485"/>
    <w:rsid w:val="32E120A3"/>
    <w:rsid w:val="32E5656B"/>
    <w:rsid w:val="32FC18D5"/>
    <w:rsid w:val="33026E10"/>
    <w:rsid w:val="33031CDF"/>
    <w:rsid w:val="332477FA"/>
    <w:rsid w:val="332D454F"/>
    <w:rsid w:val="333A23FE"/>
    <w:rsid w:val="333C1398"/>
    <w:rsid w:val="334E1463"/>
    <w:rsid w:val="335245FC"/>
    <w:rsid w:val="335A2231"/>
    <w:rsid w:val="3381207E"/>
    <w:rsid w:val="33BA5704"/>
    <w:rsid w:val="33CB403C"/>
    <w:rsid w:val="33F56325"/>
    <w:rsid w:val="33F95E15"/>
    <w:rsid w:val="341B61D9"/>
    <w:rsid w:val="34237336"/>
    <w:rsid w:val="343C5CD3"/>
    <w:rsid w:val="344016F8"/>
    <w:rsid w:val="344D6886"/>
    <w:rsid w:val="346E1273"/>
    <w:rsid w:val="34855E20"/>
    <w:rsid w:val="348E3F5F"/>
    <w:rsid w:val="3496093B"/>
    <w:rsid w:val="349B511E"/>
    <w:rsid w:val="34A07D70"/>
    <w:rsid w:val="34A43FD3"/>
    <w:rsid w:val="34AB5D51"/>
    <w:rsid w:val="34AE125F"/>
    <w:rsid w:val="34D84426"/>
    <w:rsid w:val="34D85063"/>
    <w:rsid w:val="34DA0634"/>
    <w:rsid w:val="34EC3965"/>
    <w:rsid w:val="34FF28AA"/>
    <w:rsid w:val="357D678C"/>
    <w:rsid w:val="359B5E22"/>
    <w:rsid w:val="359C1AAB"/>
    <w:rsid w:val="35A63D95"/>
    <w:rsid w:val="35AB3B2B"/>
    <w:rsid w:val="35B06007"/>
    <w:rsid w:val="35B11597"/>
    <w:rsid w:val="35F0133B"/>
    <w:rsid w:val="360B3E62"/>
    <w:rsid w:val="364E1FAC"/>
    <w:rsid w:val="365D08DD"/>
    <w:rsid w:val="366D38D2"/>
    <w:rsid w:val="367F29FE"/>
    <w:rsid w:val="36863A20"/>
    <w:rsid w:val="36BC0BCE"/>
    <w:rsid w:val="36C26B8E"/>
    <w:rsid w:val="36C73FA8"/>
    <w:rsid w:val="36D23FC3"/>
    <w:rsid w:val="36E41E01"/>
    <w:rsid w:val="36E548BA"/>
    <w:rsid w:val="36F452A3"/>
    <w:rsid w:val="37032508"/>
    <w:rsid w:val="37257FAC"/>
    <w:rsid w:val="374455DA"/>
    <w:rsid w:val="3744619F"/>
    <w:rsid w:val="374D3D38"/>
    <w:rsid w:val="37513218"/>
    <w:rsid w:val="37797AAB"/>
    <w:rsid w:val="37965565"/>
    <w:rsid w:val="37A75B88"/>
    <w:rsid w:val="37ED15B4"/>
    <w:rsid w:val="38150D23"/>
    <w:rsid w:val="382D42DF"/>
    <w:rsid w:val="389410CF"/>
    <w:rsid w:val="38A00F55"/>
    <w:rsid w:val="38E52E0C"/>
    <w:rsid w:val="390C44F5"/>
    <w:rsid w:val="39525955"/>
    <w:rsid w:val="39535017"/>
    <w:rsid w:val="39616936"/>
    <w:rsid w:val="396229AC"/>
    <w:rsid w:val="39681137"/>
    <w:rsid w:val="396B7735"/>
    <w:rsid w:val="3971655D"/>
    <w:rsid w:val="39BA1ADC"/>
    <w:rsid w:val="39CF6DF4"/>
    <w:rsid w:val="39FC64D5"/>
    <w:rsid w:val="3A575933"/>
    <w:rsid w:val="3A5A62B8"/>
    <w:rsid w:val="3A735F50"/>
    <w:rsid w:val="3A8D08BE"/>
    <w:rsid w:val="3A907922"/>
    <w:rsid w:val="3A946615"/>
    <w:rsid w:val="3AAD2EF2"/>
    <w:rsid w:val="3AE83416"/>
    <w:rsid w:val="3B1E1277"/>
    <w:rsid w:val="3B241639"/>
    <w:rsid w:val="3B2958E9"/>
    <w:rsid w:val="3B2A71FC"/>
    <w:rsid w:val="3B337E5E"/>
    <w:rsid w:val="3B3C01ED"/>
    <w:rsid w:val="3B4342F2"/>
    <w:rsid w:val="3B484618"/>
    <w:rsid w:val="3B963C60"/>
    <w:rsid w:val="3B9D177C"/>
    <w:rsid w:val="3BA64AD4"/>
    <w:rsid w:val="3BAC54A0"/>
    <w:rsid w:val="3BB450D2"/>
    <w:rsid w:val="3BB83A55"/>
    <w:rsid w:val="3BBD42E3"/>
    <w:rsid w:val="3BEE77A9"/>
    <w:rsid w:val="3C016259"/>
    <w:rsid w:val="3C5D5296"/>
    <w:rsid w:val="3C70334F"/>
    <w:rsid w:val="3C712927"/>
    <w:rsid w:val="3C797D13"/>
    <w:rsid w:val="3C806348"/>
    <w:rsid w:val="3C811DFC"/>
    <w:rsid w:val="3C815D51"/>
    <w:rsid w:val="3CC03974"/>
    <w:rsid w:val="3CCA777E"/>
    <w:rsid w:val="3CD2615F"/>
    <w:rsid w:val="3CD373EF"/>
    <w:rsid w:val="3CD45671"/>
    <w:rsid w:val="3CE27D8E"/>
    <w:rsid w:val="3CE358B4"/>
    <w:rsid w:val="3CEB6FA5"/>
    <w:rsid w:val="3CEF5D68"/>
    <w:rsid w:val="3D0A2E41"/>
    <w:rsid w:val="3D11205B"/>
    <w:rsid w:val="3D364B3C"/>
    <w:rsid w:val="3D3D55B3"/>
    <w:rsid w:val="3D424389"/>
    <w:rsid w:val="3D50398D"/>
    <w:rsid w:val="3D5619DA"/>
    <w:rsid w:val="3D5D0F6E"/>
    <w:rsid w:val="3D69083B"/>
    <w:rsid w:val="3D755874"/>
    <w:rsid w:val="3D762284"/>
    <w:rsid w:val="3DAC46D3"/>
    <w:rsid w:val="3DBF1E7D"/>
    <w:rsid w:val="3DC234D0"/>
    <w:rsid w:val="3DC301F2"/>
    <w:rsid w:val="3DE25DB3"/>
    <w:rsid w:val="3DE6670E"/>
    <w:rsid w:val="3E2E7003"/>
    <w:rsid w:val="3E4B156F"/>
    <w:rsid w:val="3E7013C9"/>
    <w:rsid w:val="3E75078E"/>
    <w:rsid w:val="3E7A463F"/>
    <w:rsid w:val="3E7F33BB"/>
    <w:rsid w:val="3E895566"/>
    <w:rsid w:val="3E925B12"/>
    <w:rsid w:val="3EE1564E"/>
    <w:rsid w:val="3F0128C7"/>
    <w:rsid w:val="3F12480E"/>
    <w:rsid w:val="3F160246"/>
    <w:rsid w:val="3F50722A"/>
    <w:rsid w:val="3F5A0CB4"/>
    <w:rsid w:val="3F645D9C"/>
    <w:rsid w:val="3F6C7DE3"/>
    <w:rsid w:val="3F8E1AF4"/>
    <w:rsid w:val="3FA02180"/>
    <w:rsid w:val="3FA35235"/>
    <w:rsid w:val="3FB31024"/>
    <w:rsid w:val="3FCD3C0B"/>
    <w:rsid w:val="3FE62824"/>
    <w:rsid w:val="3FEA76C9"/>
    <w:rsid w:val="3FFD4490"/>
    <w:rsid w:val="40003274"/>
    <w:rsid w:val="400A3AF6"/>
    <w:rsid w:val="40186353"/>
    <w:rsid w:val="404476D4"/>
    <w:rsid w:val="404E5276"/>
    <w:rsid w:val="405A34BE"/>
    <w:rsid w:val="405D3A6D"/>
    <w:rsid w:val="40650AB8"/>
    <w:rsid w:val="40CD6A23"/>
    <w:rsid w:val="40D317EF"/>
    <w:rsid w:val="40D50F73"/>
    <w:rsid w:val="40E765BD"/>
    <w:rsid w:val="40F701C5"/>
    <w:rsid w:val="410D6E30"/>
    <w:rsid w:val="41412351"/>
    <w:rsid w:val="414E6719"/>
    <w:rsid w:val="416D0E12"/>
    <w:rsid w:val="416D4D8C"/>
    <w:rsid w:val="417A46D4"/>
    <w:rsid w:val="419345E1"/>
    <w:rsid w:val="41940CDA"/>
    <w:rsid w:val="41A43864"/>
    <w:rsid w:val="41AA2509"/>
    <w:rsid w:val="41AE7CE5"/>
    <w:rsid w:val="41C61D98"/>
    <w:rsid w:val="41CF0BCF"/>
    <w:rsid w:val="41D427C4"/>
    <w:rsid w:val="41E04248"/>
    <w:rsid w:val="41E55DB5"/>
    <w:rsid w:val="41EC3004"/>
    <w:rsid w:val="42042CCA"/>
    <w:rsid w:val="421B243C"/>
    <w:rsid w:val="422C2364"/>
    <w:rsid w:val="42583C21"/>
    <w:rsid w:val="42696552"/>
    <w:rsid w:val="42812A86"/>
    <w:rsid w:val="42B56350"/>
    <w:rsid w:val="432C5504"/>
    <w:rsid w:val="43365770"/>
    <w:rsid w:val="433F05BE"/>
    <w:rsid w:val="4346094B"/>
    <w:rsid w:val="43482809"/>
    <w:rsid w:val="43727FC7"/>
    <w:rsid w:val="43794BD1"/>
    <w:rsid w:val="43876CC6"/>
    <w:rsid w:val="439F2829"/>
    <w:rsid w:val="43BF2BD7"/>
    <w:rsid w:val="43D92046"/>
    <w:rsid w:val="4402491B"/>
    <w:rsid w:val="447629D7"/>
    <w:rsid w:val="447F2366"/>
    <w:rsid w:val="44853B11"/>
    <w:rsid w:val="44900492"/>
    <w:rsid w:val="44A679EE"/>
    <w:rsid w:val="44A703E9"/>
    <w:rsid w:val="44AA72C0"/>
    <w:rsid w:val="44B9673B"/>
    <w:rsid w:val="44C409AF"/>
    <w:rsid w:val="44CB6471"/>
    <w:rsid w:val="44D70159"/>
    <w:rsid w:val="44E56D05"/>
    <w:rsid w:val="44FC502D"/>
    <w:rsid w:val="4504471C"/>
    <w:rsid w:val="45196317"/>
    <w:rsid w:val="45203230"/>
    <w:rsid w:val="452E1B9D"/>
    <w:rsid w:val="452F387D"/>
    <w:rsid w:val="454809AA"/>
    <w:rsid w:val="45603002"/>
    <w:rsid w:val="4560482C"/>
    <w:rsid w:val="4567448A"/>
    <w:rsid w:val="45A45053"/>
    <w:rsid w:val="45AD2F03"/>
    <w:rsid w:val="460008CE"/>
    <w:rsid w:val="46212412"/>
    <w:rsid w:val="462A6302"/>
    <w:rsid w:val="46535859"/>
    <w:rsid w:val="46767AA6"/>
    <w:rsid w:val="46814B14"/>
    <w:rsid w:val="46A301C2"/>
    <w:rsid w:val="46A6408A"/>
    <w:rsid w:val="46A83331"/>
    <w:rsid w:val="46AB7443"/>
    <w:rsid w:val="46B215A3"/>
    <w:rsid w:val="46C22DD5"/>
    <w:rsid w:val="46C2478C"/>
    <w:rsid w:val="46C36755"/>
    <w:rsid w:val="46D027AA"/>
    <w:rsid w:val="46DC5D92"/>
    <w:rsid w:val="46E27E0C"/>
    <w:rsid w:val="46EC760D"/>
    <w:rsid w:val="47396823"/>
    <w:rsid w:val="47512004"/>
    <w:rsid w:val="47523D62"/>
    <w:rsid w:val="476E221E"/>
    <w:rsid w:val="47711558"/>
    <w:rsid w:val="47723768"/>
    <w:rsid w:val="47791D4A"/>
    <w:rsid w:val="47B562F9"/>
    <w:rsid w:val="47BB36B5"/>
    <w:rsid w:val="47D9353C"/>
    <w:rsid w:val="47E54F55"/>
    <w:rsid w:val="47EE423B"/>
    <w:rsid w:val="480005CF"/>
    <w:rsid w:val="482254E2"/>
    <w:rsid w:val="4860425D"/>
    <w:rsid w:val="488C711E"/>
    <w:rsid w:val="48A25DD0"/>
    <w:rsid w:val="48AE3BA5"/>
    <w:rsid w:val="48BA0C62"/>
    <w:rsid w:val="48C81937"/>
    <w:rsid w:val="48D73DAB"/>
    <w:rsid w:val="48DD2962"/>
    <w:rsid w:val="48E734B9"/>
    <w:rsid w:val="493556E9"/>
    <w:rsid w:val="49380D36"/>
    <w:rsid w:val="493C0826"/>
    <w:rsid w:val="49490BB1"/>
    <w:rsid w:val="494B36B3"/>
    <w:rsid w:val="49692915"/>
    <w:rsid w:val="49BF129D"/>
    <w:rsid w:val="4A1001FC"/>
    <w:rsid w:val="4A1E7F2C"/>
    <w:rsid w:val="4A286DF8"/>
    <w:rsid w:val="4A3847B0"/>
    <w:rsid w:val="4A3F772C"/>
    <w:rsid w:val="4A492B02"/>
    <w:rsid w:val="4A525AF7"/>
    <w:rsid w:val="4A584C12"/>
    <w:rsid w:val="4A6603DD"/>
    <w:rsid w:val="4A6E7668"/>
    <w:rsid w:val="4A842484"/>
    <w:rsid w:val="4A875AD1"/>
    <w:rsid w:val="4A9876F1"/>
    <w:rsid w:val="4A9B3066"/>
    <w:rsid w:val="4AAC19DB"/>
    <w:rsid w:val="4AB4238D"/>
    <w:rsid w:val="4ABC719B"/>
    <w:rsid w:val="4AC52A5D"/>
    <w:rsid w:val="4ADA3BA5"/>
    <w:rsid w:val="4AE13A1F"/>
    <w:rsid w:val="4AEE031F"/>
    <w:rsid w:val="4B054806"/>
    <w:rsid w:val="4B1413A3"/>
    <w:rsid w:val="4B187D0C"/>
    <w:rsid w:val="4B1C763E"/>
    <w:rsid w:val="4B2B54D7"/>
    <w:rsid w:val="4B6C0448"/>
    <w:rsid w:val="4B992729"/>
    <w:rsid w:val="4BA803F5"/>
    <w:rsid w:val="4BAD77B9"/>
    <w:rsid w:val="4BC54AFC"/>
    <w:rsid w:val="4BE30036"/>
    <w:rsid w:val="4BF14E5C"/>
    <w:rsid w:val="4BF6455A"/>
    <w:rsid w:val="4C06606A"/>
    <w:rsid w:val="4C2A6C7A"/>
    <w:rsid w:val="4C2C72E7"/>
    <w:rsid w:val="4C7E1155"/>
    <w:rsid w:val="4C820C46"/>
    <w:rsid w:val="4CA961D2"/>
    <w:rsid w:val="4CB2203E"/>
    <w:rsid w:val="4CC3505A"/>
    <w:rsid w:val="4D1675E0"/>
    <w:rsid w:val="4D2F1ADF"/>
    <w:rsid w:val="4D397E04"/>
    <w:rsid w:val="4D5B3007"/>
    <w:rsid w:val="4D695962"/>
    <w:rsid w:val="4D83282D"/>
    <w:rsid w:val="4DB91463"/>
    <w:rsid w:val="4DCA27DE"/>
    <w:rsid w:val="4DCE19CD"/>
    <w:rsid w:val="4DED405F"/>
    <w:rsid w:val="4DEF230B"/>
    <w:rsid w:val="4E0B519C"/>
    <w:rsid w:val="4E2C33DD"/>
    <w:rsid w:val="4E343D00"/>
    <w:rsid w:val="4E3516A9"/>
    <w:rsid w:val="4E522141"/>
    <w:rsid w:val="4E663FE6"/>
    <w:rsid w:val="4E982F17"/>
    <w:rsid w:val="4EBC4081"/>
    <w:rsid w:val="4ED43E85"/>
    <w:rsid w:val="4EEB7681"/>
    <w:rsid w:val="4EFC2593"/>
    <w:rsid w:val="4F2709A5"/>
    <w:rsid w:val="4F281ED6"/>
    <w:rsid w:val="4F337FD5"/>
    <w:rsid w:val="4F377CE8"/>
    <w:rsid w:val="4F48599F"/>
    <w:rsid w:val="4F527D9E"/>
    <w:rsid w:val="4F604C84"/>
    <w:rsid w:val="4F687B14"/>
    <w:rsid w:val="4F96706C"/>
    <w:rsid w:val="4F994A3A"/>
    <w:rsid w:val="4FA060F5"/>
    <w:rsid w:val="4FC915F8"/>
    <w:rsid w:val="4FDA6341"/>
    <w:rsid w:val="4FFA0339"/>
    <w:rsid w:val="502B0C40"/>
    <w:rsid w:val="50306C0B"/>
    <w:rsid w:val="50421741"/>
    <w:rsid w:val="504E4277"/>
    <w:rsid w:val="506A4669"/>
    <w:rsid w:val="506F3038"/>
    <w:rsid w:val="50A62A29"/>
    <w:rsid w:val="50BB78A8"/>
    <w:rsid w:val="50C42D4E"/>
    <w:rsid w:val="50DD28EE"/>
    <w:rsid w:val="50F07683"/>
    <w:rsid w:val="512F2A1E"/>
    <w:rsid w:val="51316332"/>
    <w:rsid w:val="5143165E"/>
    <w:rsid w:val="514913CF"/>
    <w:rsid w:val="5152292F"/>
    <w:rsid w:val="516C70A1"/>
    <w:rsid w:val="51A46F68"/>
    <w:rsid w:val="51CD073F"/>
    <w:rsid w:val="51E91544"/>
    <w:rsid w:val="51FC3B2B"/>
    <w:rsid w:val="520208C9"/>
    <w:rsid w:val="52420DBB"/>
    <w:rsid w:val="524B2109"/>
    <w:rsid w:val="525909C8"/>
    <w:rsid w:val="52725570"/>
    <w:rsid w:val="52830A1B"/>
    <w:rsid w:val="52D25198"/>
    <w:rsid w:val="52DF7655"/>
    <w:rsid w:val="52F21B43"/>
    <w:rsid w:val="52FC20E7"/>
    <w:rsid w:val="532E7431"/>
    <w:rsid w:val="53315390"/>
    <w:rsid w:val="534B0C47"/>
    <w:rsid w:val="5360776D"/>
    <w:rsid w:val="53672943"/>
    <w:rsid w:val="53682721"/>
    <w:rsid w:val="537261AA"/>
    <w:rsid w:val="537B3490"/>
    <w:rsid w:val="53C4784A"/>
    <w:rsid w:val="53E411F3"/>
    <w:rsid w:val="53F65A75"/>
    <w:rsid w:val="53FE0393"/>
    <w:rsid w:val="54181E8F"/>
    <w:rsid w:val="54387E3C"/>
    <w:rsid w:val="544534B4"/>
    <w:rsid w:val="544A095C"/>
    <w:rsid w:val="544D59FD"/>
    <w:rsid w:val="54624EB9"/>
    <w:rsid w:val="547454A3"/>
    <w:rsid w:val="5486329D"/>
    <w:rsid w:val="54E12281"/>
    <w:rsid w:val="550310AC"/>
    <w:rsid w:val="550479F9"/>
    <w:rsid w:val="550F5041"/>
    <w:rsid w:val="55125F6B"/>
    <w:rsid w:val="55231B08"/>
    <w:rsid w:val="55346855"/>
    <w:rsid w:val="554054D5"/>
    <w:rsid w:val="55437E5C"/>
    <w:rsid w:val="554F4DF6"/>
    <w:rsid w:val="555869E7"/>
    <w:rsid w:val="5565242B"/>
    <w:rsid w:val="5568321F"/>
    <w:rsid w:val="557D432D"/>
    <w:rsid w:val="5588253E"/>
    <w:rsid w:val="558B0EF2"/>
    <w:rsid w:val="559351F5"/>
    <w:rsid w:val="55A74D06"/>
    <w:rsid w:val="55A75A83"/>
    <w:rsid w:val="55B84A22"/>
    <w:rsid w:val="55C839DA"/>
    <w:rsid w:val="56023CF2"/>
    <w:rsid w:val="56195DC5"/>
    <w:rsid w:val="561D69C4"/>
    <w:rsid w:val="562079EA"/>
    <w:rsid w:val="565A09B0"/>
    <w:rsid w:val="56641770"/>
    <w:rsid w:val="5671771B"/>
    <w:rsid w:val="569F5204"/>
    <w:rsid w:val="56A40F80"/>
    <w:rsid w:val="56BC7EE0"/>
    <w:rsid w:val="56C51205"/>
    <w:rsid w:val="56E30A23"/>
    <w:rsid w:val="56F805D3"/>
    <w:rsid w:val="56FB6AB2"/>
    <w:rsid w:val="572F2122"/>
    <w:rsid w:val="5732282D"/>
    <w:rsid w:val="57413215"/>
    <w:rsid w:val="57513E3C"/>
    <w:rsid w:val="575B5553"/>
    <w:rsid w:val="575E71D1"/>
    <w:rsid w:val="5765363E"/>
    <w:rsid w:val="57656AAF"/>
    <w:rsid w:val="57780285"/>
    <w:rsid w:val="57895841"/>
    <w:rsid w:val="579E372B"/>
    <w:rsid w:val="57BF2D4E"/>
    <w:rsid w:val="57CB7122"/>
    <w:rsid w:val="57D12C5A"/>
    <w:rsid w:val="57F00A40"/>
    <w:rsid w:val="580F49BF"/>
    <w:rsid w:val="583B5480"/>
    <w:rsid w:val="58504A22"/>
    <w:rsid w:val="585C67EF"/>
    <w:rsid w:val="589B30FD"/>
    <w:rsid w:val="589D0BB5"/>
    <w:rsid w:val="58BB009F"/>
    <w:rsid w:val="58C67724"/>
    <w:rsid w:val="58ED38EB"/>
    <w:rsid w:val="58F74373"/>
    <w:rsid w:val="58FB6986"/>
    <w:rsid w:val="59087308"/>
    <w:rsid w:val="592B2BC8"/>
    <w:rsid w:val="592B319C"/>
    <w:rsid w:val="5932697F"/>
    <w:rsid w:val="593E5AA6"/>
    <w:rsid w:val="59401C6C"/>
    <w:rsid w:val="5945570A"/>
    <w:rsid w:val="596C2A61"/>
    <w:rsid w:val="596F2552"/>
    <w:rsid w:val="59843CBF"/>
    <w:rsid w:val="598A1022"/>
    <w:rsid w:val="59994A33"/>
    <w:rsid w:val="59B270A2"/>
    <w:rsid w:val="59B93578"/>
    <w:rsid w:val="59BE5287"/>
    <w:rsid w:val="59C60319"/>
    <w:rsid w:val="59DE09F5"/>
    <w:rsid w:val="5A054C64"/>
    <w:rsid w:val="5A544E18"/>
    <w:rsid w:val="5A713E12"/>
    <w:rsid w:val="5A7A11AE"/>
    <w:rsid w:val="5AC015B8"/>
    <w:rsid w:val="5ACC7530"/>
    <w:rsid w:val="5AE2690A"/>
    <w:rsid w:val="5AF16743"/>
    <w:rsid w:val="5AFA5E4B"/>
    <w:rsid w:val="5B021D04"/>
    <w:rsid w:val="5B0B62AA"/>
    <w:rsid w:val="5B116824"/>
    <w:rsid w:val="5B2D4472"/>
    <w:rsid w:val="5B365BD0"/>
    <w:rsid w:val="5B3D15A4"/>
    <w:rsid w:val="5B501F0F"/>
    <w:rsid w:val="5B5267B9"/>
    <w:rsid w:val="5B5F034D"/>
    <w:rsid w:val="5B64318C"/>
    <w:rsid w:val="5B7712FB"/>
    <w:rsid w:val="5B7A2A80"/>
    <w:rsid w:val="5BB57BEA"/>
    <w:rsid w:val="5BC05588"/>
    <w:rsid w:val="5BD42E24"/>
    <w:rsid w:val="5BE21F66"/>
    <w:rsid w:val="5BF64864"/>
    <w:rsid w:val="5BFB37A6"/>
    <w:rsid w:val="5C0B478C"/>
    <w:rsid w:val="5C157F43"/>
    <w:rsid w:val="5C240C7B"/>
    <w:rsid w:val="5C2A09B2"/>
    <w:rsid w:val="5C3A6E47"/>
    <w:rsid w:val="5C4557EC"/>
    <w:rsid w:val="5C5C6D43"/>
    <w:rsid w:val="5C8A2EC0"/>
    <w:rsid w:val="5C8D51F6"/>
    <w:rsid w:val="5C9B08F9"/>
    <w:rsid w:val="5CA52AF5"/>
    <w:rsid w:val="5CB963A2"/>
    <w:rsid w:val="5CC41C0D"/>
    <w:rsid w:val="5CCE1A7B"/>
    <w:rsid w:val="5CE42D12"/>
    <w:rsid w:val="5D2915E4"/>
    <w:rsid w:val="5D3B71FE"/>
    <w:rsid w:val="5D5D3DA8"/>
    <w:rsid w:val="5D5D7AEC"/>
    <w:rsid w:val="5D6A3C9B"/>
    <w:rsid w:val="5D8A5BAC"/>
    <w:rsid w:val="5DA36C6E"/>
    <w:rsid w:val="5DB07B64"/>
    <w:rsid w:val="5DB7265E"/>
    <w:rsid w:val="5DCD5245"/>
    <w:rsid w:val="5DDE2965"/>
    <w:rsid w:val="5DE55D4F"/>
    <w:rsid w:val="5E0B635A"/>
    <w:rsid w:val="5E874794"/>
    <w:rsid w:val="5EA11D24"/>
    <w:rsid w:val="5EB9169C"/>
    <w:rsid w:val="5EBB3B43"/>
    <w:rsid w:val="5ED02091"/>
    <w:rsid w:val="5EF54261"/>
    <w:rsid w:val="5EF66F80"/>
    <w:rsid w:val="5EFD3DCB"/>
    <w:rsid w:val="5F130CD0"/>
    <w:rsid w:val="5F323D85"/>
    <w:rsid w:val="5F446A72"/>
    <w:rsid w:val="5F545911"/>
    <w:rsid w:val="5F5919A6"/>
    <w:rsid w:val="5F5B5981"/>
    <w:rsid w:val="5F5D03BD"/>
    <w:rsid w:val="5F82440E"/>
    <w:rsid w:val="5F925DFC"/>
    <w:rsid w:val="5F9D6970"/>
    <w:rsid w:val="5FB7111C"/>
    <w:rsid w:val="5FB87095"/>
    <w:rsid w:val="5FE408D5"/>
    <w:rsid w:val="600A0DD5"/>
    <w:rsid w:val="601A0E99"/>
    <w:rsid w:val="60210B27"/>
    <w:rsid w:val="60675970"/>
    <w:rsid w:val="607F78F5"/>
    <w:rsid w:val="60992FAF"/>
    <w:rsid w:val="60C7316A"/>
    <w:rsid w:val="60CE3883"/>
    <w:rsid w:val="60F021CA"/>
    <w:rsid w:val="60F316ED"/>
    <w:rsid w:val="61047A23"/>
    <w:rsid w:val="6109532C"/>
    <w:rsid w:val="610B3038"/>
    <w:rsid w:val="61146557"/>
    <w:rsid w:val="6157463B"/>
    <w:rsid w:val="617E4947"/>
    <w:rsid w:val="618C17C7"/>
    <w:rsid w:val="618C3680"/>
    <w:rsid w:val="619077B7"/>
    <w:rsid w:val="619157A0"/>
    <w:rsid w:val="619A090F"/>
    <w:rsid w:val="61AD7FAC"/>
    <w:rsid w:val="61CB6793"/>
    <w:rsid w:val="61CD7939"/>
    <w:rsid w:val="61FE600E"/>
    <w:rsid w:val="62012E19"/>
    <w:rsid w:val="620432C5"/>
    <w:rsid w:val="620C4DF8"/>
    <w:rsid w:val="62306A9A"/>
    <w:rsid w:val="62552691"/>
    <w:rsid w:val="62634C1E"/>
    <w:rsid w:val="626D2D34"/>
    <w:rsid w:val="627E0359"/>
    <w:rsid w:val="62943E11"/>
    <w:rsid w:val="62A50D92"/>
    <w:rsid w:val="62B44403"/>
    <w:rsid w:val="62E65330"/>
    <w:rsid w:val="62FE72D8"/>
    <w:rsid w:val="631D6B30"/>
    <w:rsid w:val="632259C4"/>
    <w:rsid w:val="63263D0D"/>
    <w:rsid w:val="634D2D5C"/>
    <w:rsid w:val="63556314"/>
    <w:rsid w:val="6373260F"/>
    <w:rsid w:val="63856413"/>
    <w:rsid w:val="63904A53"/>
    <w:rsid w:val="63D201A3"/>
    <w:rsid w:val="63E43042"/>
    <w:rsid w:val="63EE0517"/>
    <w:rsid w:val="64003D27"/>
    <w:rsid w:val="640354AF"/>
    <w:rsid w:val="64191A38"/>
    <w:rsid w:val="641F6793"/>
    <w:rsid w:val="644763D7"/>
    <w:rsid w:val="6463675E"/>
    <w:rsid w:val="646E04C5"/>
    <w:rsid w:val="64757F56"/>
    <w:rsid w:val="64774252"/>
    <w:rsid w:val="64823B69"/>
    <w:rsid w:val="649548FB"/>
    <w:rsid w:val="64AD388C"/>
    <w:rsid w:val="64AF414A"/>
    <w:rsid w:val="64B60830"/>
    <w:rsid w:val="64C277BB"/>
    <w:rsid w:val="64E7038F"/>
    <w:rsid w:val="64EB4D04"/>
    <w:rsid w:val="652E506F"/>
    <w:rsid w:val="654B3E73"/>
    <w:rsid w:val="655559FF"/>
    <w:rsid w:val="65767A7B"/>
    <w:rsid w:val="65922283"/>
    <w:rsid w:val="65956809"/>
    <w:rsid w:val="65A45561"/>
    <w:rsid w:val="65C25670"/>
    <w:rsid w:val="65CA5B5D"/>
    <w:rsid w:val="65CB4FB4"/>
    <w:rsid w:val="65D33E68"/>
    <w:rsid w:val="65D424AD"/>
    <w:rsid w:val="65DC2D1D"/>
    <w:rsid w:val="65E16585"/>
    <w:rsid w:val="66020D75"/>
    <w:rsid w:val="660451B0"/>
    <w:rsid w:val="663E5786"/>
    <w:rsid w:val="66481318"/>
    <w:rsid w:val="66582833"/>
    <w:rsid w:val="667271DD"/>
    <w:rsid w:val="667557A4"/>
    <w:rsid w:val="668E5B14"/>
    <w:rsid w:val="66A11D77"/>
    <w:rsid w:val="66C66E69"/>
    <w:rsid w:val="66FD73EF"/>
    <w:rsid w:val="67000A20"/>
    <w:rsid w:val="673226C3"/>
    <w:rsid w:val="673C1A99"/>
    <w:rsid w:val="673D3AD3"/>
    <w:rsid w:val="673D3C8F"/>
    <w:rsid w:val="67AA791C"/>
    <w:rsid w:val="681253D0"/>
    <w:rsid w:val="68464F3B"/>
    <w:rsid w:val="684A64D9"/>
    <w:rsid w:val="68580655"/>
    <w:rsid w:val="685A6D95"/>
    <w:rsid w:val="6877140D"/>
    <w:rsid w:val="68853C42"/>
    <w:rsid w:val="68A32F09"/>
    <w:rsid w:val="68AB5EFC"/>
    <w:rsid w:val="68AB69D7"/>
    <w:rsid w:val="68B94F59"/>
    <w:rsid w:val="68E40B81"/>
    <w:rsid w:val="68EE605F"/>
    <w:rsid w:val="68F2680E"/>
    <w:rsid w:val="69076303"/>
    <w:rsid w:val="6924250F"/>
    <w:rsid w:val="69271690"/>
    <w:rsid w:val="692F13B6"/>
    <w:rsid w:val="693D2E64"/>
    <w:rsid w:val="694C0E55"/>
    <w:rsid w:val="69564B94"/>
    <w:rsid w:val="696033A5"/>
    <w:rsid w:val="698E4AF7"/>
    <w:rsid w:val="69981651"/>
    <w:rsid w:val="69A16F46"/>
    <w:rsid w:val="69C55233"/>
    <w:rsid w:val="69EB0D20"/>
    <w:rsid w:val="69FF64E5"/>
    <w:rsid w:val="6A1C474A"/>
    <w:rsid w:val="6A724FB2"/>
    <w:rsid w:val="6A7C4ACE"/>
    <w:rsid w:val="6A801EBE"/>
    <w:rsid w:val="6A8614A9"/>
    <w:rsid w:val="6A932B4B"/>
    <w:rsid w:val="6AA56DD8"/>
    <w:rsid w:val="6AAC474A"/>
    <w:rsid w:val="6ADB50D7"/>
    <w:rsid w:val="6AE42A3F"/>
    <w:rsid w:val="6AE866A8"/>
    <w:rsid w:val="6AF619D0"/>
    <w:rsid w:val="6B051D29"/>
    <w:rsid w:val="6B2245BB"/>
    <w:rsid w:val="6B2A452A"/>
    <w:rsid w:val="6B321631"/>
    <w:rsid w:val="6B4C0E44"/>
    <w:rsid w:val="6B4C7735"/>
    <w:rsid w:val="6B545140"/>
    <w:rsid w:val="6B634431"/>
    <w:rsid w:val="6B6D718E"/>
    <w:rsid w:val="6B711B7A"/>
    <w:rsid w:val="6B747CE7"/>
    <w:rsid w:val="6B99520C"/>
    <w:rsid w:val="6B9B2A30"/>
    <w:rsid w:val="6BD43669"/>
    <w:rsid w:val="6BE8725E"/>
    <w:rsid w:val="6BEB6388"/>
    <w:rsid w:val="6BF1288C"/>
    <w:rsid w:val="6BF3491C"/>
    <w:rsid w:val="6C152647"/>
    <w:rsid w:val="6C255D33"/>
    <w:rsid w:val="6C2F6077"/>
    <w:rsid w:val="6C4D7600"/>
    <w:rsid w:val="6C6608D6"/>
    <w:rsid w:val="6C7D5484"/>
    <w:rsid w:val="6C916134"/>
    <w:rsid w:val="6C9852E5"/>
    <w:rsid w:val="6CD010B4"/>
    <w:rsid w:val="6CD338C5"/>
    <w:rsid w:val="6CD858AC"/>
    <w:rsid w:val="6CED5810"/>
    <w:rsid w:val="6CF976D7"/>
    <w:rsid w:val="6CFA7D7F"/>
    <w:rsid w:val="6D17424E"/>
    <w:rsid w:val="6D177096"/>
    <w:rsid w:val="6D205BE5"/>
    <w:rsid w:val="6D2C11FB"/>
    <w:rsid w:val="6D422106"/>
    <w:rsid w:val="6D6D33B9"/>
    <w:rsid w:val="6D840003"/>
    <w:rsid w:val="6D875C64"/>
    <w:rsid w:val="6D8D7A35"/>
    <w:rsid w:val="6DA947E3"/>
    <w:rsid w:val="6DC012B9"/>
    <w:rsid w:val="6DC628B6"/>
    <w:rsid w:val="6DC85167"/>
    <w:rsid w:val="6E0E0133"/>
    <w:rsid w:val="6E3B07FD"/>
    <w:rsid w:val="6E4002B9"/>
    <w:rsid w:val="6E4F523E"/>
    <w:rsid w:val="6E5729A2"/>
    <w:rsid w:val="6E583A1F"/>
    <w:rsid w:val="6E6218E2"/>
    <w:rsid w:val="6EAA495D"/>
    <w:rsid w:val="6EAB742B"/>
    <w:rsid w:val="6EB0558D"/>
    <w:rsid w:val="6EC6113E"/>
    <w:rsid w:val="6EC97476"/>
    <w:rsid w:val="6EF22B0C"/>
    <w:rsid w:val="6EF966EE"/>
    <w:rsid w:val="6EFF1080"/>
    <w:rsid w:val="6F170E2C"/>
    <w:rsid w:val="6F1C670B"/>
    <w:rsid w:val="6F45287E"/>
    <w:rsid w:val="6F871F4B"/>
    <w:rsid w:val="6F8B5421"/>
    <w:rsid w:val="6FD821D4"/>
    <w:rsid w:val="7000256A"/>
    <w:rsid w:val="70531535"/>
    <w:rsid w:val="7056093E"/>
    <w:rsid w:val="707F37C0"/>
    <w:rsid w:val="70894EE3"/>
    <w:rsid w:val="70AF0975"/>
    <w:rsid w:val="70BF0D6E"/>
    <w:rsid w:val="70E01DD1"/>
    <w:rsid w:val="71010848"/>
    <w:rsid w:val="71146B51"/>
    <w:rsid w:val="71161C74"/>
    <w:rsid w:val="711A43A1"/>
    <w:rsid w:val="712B59D4"/>
    <w:rsid w:val="71562500"/>
    <w:rsid w:val="71597165"/>
    <w:rsid w:val="71600CA6"/>
    <w:rsid w:val="717256AD"/>
    <w:rsid w:val="718544F1"/>
    <w:rsid w:val="71B42DA0"/>
    <w:rsid w:val="71BF79B2"/>
    <w:rsid w:val="71D5706D"/>
    <w:rsid w:val="71DE2066"/>
    <w:rsid w:val="720A152D"/>
    <w:rsid w:val="721F1D01"/>
    <w:rsid w:val="7222649A"/>
    <w:rsid w:val="72233A82"/>
    <w:rsid w:val="72B37B42"/>
    <w:rsid w:val="72B924D9"/>
    <w:rsid w:val="72BF6B71"/>
    <w:rsid w:val="72D11304"/>
    <w:rsid w:val="730C4186"/>
    <w:rsid w:val="73345283"/>
    <w:rsid w:val="733D2985"/>
    <w:rsid w:val="73406BAC"/>
    <w:rsid w:val="7341102A"/>
    <w:rsid w:val="73451F7C"/>
    <w:rsid w:val="737974C3"/>
    <w:rsid w:val="73A17E6A"/>
    <w:rsid w:val="73A2551B"/>
    <w:rsid w:val="73A82490"/>
    <w:rsid w:val="73DC51EA"/>
    <w:rsid w:val="73E16D57"/>
    <w:rsid w:val="73EE0AE6"/>
    <w:rsid w:val="73F823DD"/>
    <w:rsid w:val="74011B6D"/>
    <w:rsid w:val="74245F63"/>
    <w:rsid w:val="743C60DA"/>
    <w:rsid w:val="7453624B"/>
    <w:rsid w:val="746049BA"/>
    <w:rsid w:val="74874E5A"/>
    <w:rsid w:val="74A013B9"/>
    <w:rsid w:val="74A227F4"/>
    <w:rsid w:val="74A2568B"/>
    <w:rsid w:val="74B0379C"/>
    <w:rsid w:val="74C47F76"/>
    <w:rsid w:val="751E7598"/>
    <w:rsid w:val="752455E6"/>
    <w:rsid w:val="752725E3"/>
    <w:rsid w:val="752C70F1"/>
    <w:rsid w:val="75356609"/>
    <w:rsid w:val="754D7793"/>
    <w:rsid w:val="754E3DD7"/>
    <w:rsid w:val="75616D9B"/>
    <w:rsid w:val="756A1D4B"/>
    <w:rsid w:val="7573132B"/>
    <w:rsid w:val="75906CDA"/>
    <w:rsid w:val="7592164A"/>
    <w:rsid w:val="75921835"/>
    <w:rsid w:val="75A4043E"/>
    <w:rsid w:val="75DC3A8B"/>
    <w:rsid w:val="75EB5063"/>
    <w:rsid w:val="75F0787C"/>
    <w:rsid w:val="75F47E3F"/>
    <w:rsid w:val="76021882"/>
    <w:rsid w:val="7615509C"/>
    <w:rsid w:val="761715C6"/>
    <w:rsid w:val="76382B60"/>
    <w:rsid w:val="764A3CD3"/>
    <w:rsid w:val="766574D1"/>
    <w:rsid w:val="7671688D"/>
    <w:rsid w:val="767C3DB4"/>
    <w:rsid w:val="76916271"/>
    <w:rsid w:val="76AC50BB"/>
    <w:rsid w:val="76DE1045"/>
    <w:rsid w:val="770E2E0E"/>
    <w:rsid w:val="771463D1"/>
    <w:rsid w:val="77335645"/>
    <w:rsid w:val="774A39DA"/>
    <w:rsid w:val="774F6B0D"/>
    <w:rsid w:val="77543EAD"/>
    <w:rsid w:val="775C0566"/>
    <w:rsid w:val="77777CEB"/>
    <w:rsid w:val="778F0199"/>
    <w:rsid w:val="779313D9"/>
    <w:rsid w:val="779B02BA"/>
    <w:rsid w:val="77AC18DE"/>
    <w:rsid w:val="77AC6090"/>
    <w:rsid w:val="77AE0291"/>
    <w:rsid w:val="77CA4292"/>
    <w:rsid w:val="77D64484"/>
    <w:rsid w:val="77E922B4"/>
    <w:rsid w:val="77E96372"/>
    <w:rsid w:val="781617CA"/>
    <w:rsid w:val="782A2A9B"/>
    <w:rsid w:val="783A3DF7"/>
    <w:rsid w:val="783B1B25"/>
    <w:rsid w:val="78566452"/>
    <w:rsid w:val="785E0007"/>
    <w:rsid w:val="786258A4"/>
    <w:rsid w:val="78690FC9"/>
    <w:rsid w:val="78B75A43"/>
    <w:rsid w:val="78C55892"/>
    <w:rsid w:val="78D0463B"/>
    <w:rsid w:val="78DC2694"/>
    <w:rsid w:val="7906595E"/>
    <w:rsid w:val="792B000D"/>
    <w:rsid w:val="793F46BB"/>
    <w:rsid w:val="79470FD3"/>
    <w:rsid w:val="795310F0"/>
    <w:rsid w:val="797F1EE5"/>
    <w:rsid w:val="79894ED1"/>
    <w:rsid w:val="798B1783"/>
    <w:rsid w:val="798B5582"/>
    <w:rsid w:val="799512A8"/>
    <w:rsid w:val="79A447F7"/>
    <w:rsid w:val="79AD4A3C"/>
    <w:rsid w:val="79B2108A"/>
    <w:rsid w:val="79D31950"/>
    <w:rsid w:val="79D97847"/>
    <w:rsid w:val="79F0693F"/>
    <w:rsid w:val="7A036672"/>
    <w:rsid w:val="7A182237"/>
    <w:rsid w:val="7A28432B"/>
    <w:rsid w:val="7A417E6A"/>
    <w:rsid w:val="7A464BD2"/>
    <w:rsid w:val="7A805859"/>
    <w:rsid w:val="7A92024C"/>
    <w:rsid w:val="7A98347A"/>
    <w:rsid w:val="7AA222D1"/>
    <w:rsid w:val="7AA8578E"/>
    <w:rsid w:val="7AC822B7"/>
    <w:rsid w:val="7B0B5BD1"/>
    <w:rsid w:val="7B390CF1"/>
    <w:rsid w:val="7B705F89"/>
    <w:rsid w:val="7B906BE0"/>
    <w:rsid w:val="7BA53398"/>
    <w:rsid w:val="7BB344B4"/>
    <w:rsid w:val="7BC71689"/>
    <w:rsid w:val="7BDF6C6B"/>
    <w:rsid w:val="7BE20360"/>
    <w:rsid w:val="7BFB344D"/>
    <w:rsid w:val="7BFE0BED"/>
    <w:rsid w:val="7C1A1A2B"/>
    <w:rsid w:val="7C571BAE"/>
    <w:rsid w:val="7C78688F"/>
    <w:rsid w:val="7C867510"/>
    <w:rsid w:val="7C9A0DE4"/>
    <w:rsid w:val="7CB11006"/>
    <w:rsid w:val="7CE85FF3"/>
    <w:rsid w:val="7CF01DBB"/>
    <w:rsid w:val="7CF45E15"/>
    <w:rsid w:val="7CF9571E"/>
    <w:rsid w:val="7D21376C"/>
    <w:rsid w:val="7D5D7F74"/>
    <w:rsid w:val="7D8B198E"/>
    <w:rsid w:val="7D934831"/>
    <w:rsid w:val="7D9C168A"/>
    <w:rsid w:val="7DC26844"/>
    <w:rsid w:val="7DC554D8"/>
    <w:rsid w:val="7DD75B87"/>
    <w:rsid w:val="7DFC7E2B"/>
    <w:rsid w:val="7E122B46"/>
    <w:rsid w:val="7E2676D0"/>
    <w:rsid w:val="7E350722"/>
    <w:rsid w:val="7E4F73AA"/>
    <w:rsid w:val="7E6173FD"/>
    <w:rsid w:val="7E6B1A92"/>
    <w:rsid w:val="7E74200D"/>
    <w:rsid w:val="7E7B6F9A"/>
    <w:rsid w:val="7E94440E"/>
    <w:rsid w:val="7EA22277"/>
    <w:rsid w:val="7EC63541"/>
    <w:rsid w:val="7EDB5E10"/>
    <w:rsid w:val="7EDC3936"/>
    <w:rsid w:val="7EE93115"/>
    <w:rsid w:val="7EED4B13"/>
    <w:rsid w:val="7F1C1E8D"/>
    <w:rsid w:val="7F372259"/>
    <w:rsid w:val="7F6C6A68"/>
    <w:rsid w:val="7F6F11EA"/>
    <w:rsid w:val="7F7E1BD7"/>
    <w:rsid w:val="7F8B1A78"/>
    <w:rsid w:val="7FA418D8"/>
    <w:rsid w:val="7FA92784"/>
    <w:rsid w:val="7FDD570F"/>
    <w:rsid w:val="7FE824D7"/>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qFormat="1" w:uiPriority="99"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1"/>
      <w:szCs w:val="24"/>
      <w:lang w:val="en-US" w:eastAsia="zh-CN" w:bidi="ar-SA"/>
    </w:rPr>
  </w:style>
  <w:style w:type="paragraph" w:styleId="2">
    <w:name w:val="heading 1"/>
    <w:basedOn w:val="1"/>
    <w:next w:val="1"/>
    <w:link w:val="31"/>
    <w:qFormat/>
    <w:uiPriority w:val="0"/>
    <w:pPr>
      <w:keepNext/>
      <w:keepLines/>
      <w:spacing w:before="120" w:after="120"/>
      <w:jc w:val="center"/>
      <w:outlineLvl w:val="0"/>
    </w:pPr>
    <w:rPr>
      <w:rFonts w:ascii="Calibri" w:hAnsi="Calibri"/>
      <w:b/>
      <w:kern w:val="44"/>
      <w:sz w:val="44"/>
    </w:rPr>
  </w:style>
  <w:style w:type="paragraph" w:styleId="3">
    <w:name w:val="heading 2"/>
    <w:basedOn w:val="1"/>
    <w:next w:val="1"/>
    <w:link w:val="28"/>
    <w:qFormat/>
    <w:uiPriority w:val="0"/>
    <w:pPr>
      <w:keepNext/>
      <w:keepLines/>
      <w:spacing w:before="140" w:after="140" w:line="413" w:lineRule="auto"/>
      <w:jc w:val="center"/>
      <w:outlineLvl w:val="1"/>
    </w:pPr>
    <w:rPr>
      <w:rFonts w:ascii="Arial" w:hAnsi="Arial"/>
      <w:b/>
      <w:sz w:val="28"/>
    </w:rPr>
  </w:style>
  <w:style w:type="paragraph" w:styleId="4">
    <w:name w:val="heading 3"/>
    <w:basedOn w:val="1"/>
    <w:next w:val="1"/>
    <w:link w:val="32"/>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outlineLvl w:val="3"/>
    </w:pPr>
    <w:rPr>
      <w:rFonts w:ascii="Arial" w:hAnsi="Arial" w:eastAsia="黑体"/>
      <w:bCs/>
      <w:kern w:val="0"/>
      <w:sz w:val="24"/>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420" w:firstLineChars="200"/>
    </w:pPr>
    <w:rPr>
      <w:rFonts w:ascii="Calibri" w:hAnsi="Calibri"/>
    </w:rPr>
  </w:style>
  <w:style w:type="paragraph" w:styleId="7">
    <w:name w:val="annotation text"/>
    <w:basedOn w:val="1"/>
    <w:link w:val="33"/>
    <w:unhideWhenUsed/>
    <w:qFormat/>
    <w:uiPriority w:val="99"/>
    <w:pPr>
      <w:jc w:val="left"/>
    </w:pPr>
    <w:rPr>
      <w:rFonts w:ascii="Calibri" w:hAnsi="Calibri"/>
    </w:rPr>
  </w:style>
  <w:style w:type="paragraph" w:styleId="8">
    <w:name w:val="Body Text"/>
    <w:basedOn w:val="1"/>
    <w:next w:val="9"/>
    <w:qFormat/>
    <w:uiPriority w:val="0"/>
    <w:pPr>
      <w:spacing w:after="120"/>
    </w:pPr>
  </w:style>
  <w:style w:type="paragraph" w:styleId="9">
    <w:name w:val="Date"/>
    <w:basedOn w:val="1"/>
    <w:next w:val="1"/>
    <w:qFormat/>
    <w:uiPriority w:val="0"/>
    <w:pPr>
      <w:ind w:left="100" w:leftChars="2500"/>
    </w:pPr>
    <w:rPr>
      <w:rFonts w:ascii="Calibri" w:hAnsi="Calibri"/>
    </w:rPr>
  </w:style>
  <w:style w:type="paragraph" w:styleId="10">
    <w:name w:val="Body Text Indent"/>
    <w:basedOn w:val="1"/>
    <w:link w:val="34"/>
    <w:qFormat/>
    <w:uiPriority w:val="0"/>
    <w:pPr>
      <w:spacing w:after="120"/>
      <w:ind w:left="420" w:leftChars="200"/>
    </w:pPr>
  </w:style>
  <w:style w:type="paragraph" w:styleId="11">
    <w:name w:val="Plain Text"/>
    <w:basedOn w:val="1"/>
    <w:qFormat/>
    <w:uiPriority w:val="99"/>
    <w:rPr>
      <w:rFonts w:ascii="宋体" w:hAnsi="Courier New" w:cs="Courier New"/>
      <w:szCs w:val="21"/>
    </w:rPr>
  </w:style>
  <w:style w:type="paragraph" w:styleId="12">
    <w:name w:val="Balloon Text"/>
    <w:basedOn w:val="1"/>
    <w:link w:val="35"/>
    <w:qFormat/>
    <w:uiPriority w:val="0"/>
    <w:rPr>
      <w:rFonts w:ascii="Calibri" w:hAnsi="Calibri"/>
      <w:sz w:val="18"/>
      <w:szCs w:val="18"/>
    </w:rPr>
  </w:style>
  <w:style w:type="paragraph" w:styleId="13">
    <w:name w:val="footer"/>
    <w:basedOn w:val="1"/>
    <w:link w:val="30"/>
    <w:qFormat/>
    <w:uiPriority w:val="99"/>
    <w:pPr>
      <w:tabs>
        <w:tab w:val="center" w:pos="4153"/>
        <w:tab w:val="right" w:pos="8306"/>
      </w:tabs>
      <w:snapToGrid w:val="0"/>
      <w:jc w:val="left"/>
    </w:pPr>
    <w:rPr>
      <w:sz w:val="18"/>
    </w:rPr>
  </w:style>
  <w:style w:type="paragraph" w:styleId="14">
    <w:name w:val="header"/>
    <w:basedOn w:val="1"/>
    <w:link w:val="6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7">
    <w:name w:val="annotation subject"/>
    <w:basedOn w:val="7"/>
    <w:next w:val="7"/>
    <w:link w:val="36"/>
    <w:qFormat/>
    <w:uiPriority w:val="0"/>
    <w:rPr>
      <w:b/>
      <w:bCs/>
    </w:rPr>
  </w:style>
  <w:style w:type="paragraph" w:styleId="18">
    <w:name w:val="Body Text First Indent"/>
    <w:basedOn w:val="8"/>
    <w:next w:val="1"/>
    <w:qFormat/>
    <w:uiPriority w:val="99"/>
    <w:pPr>
      <w:ind w:firstLine="100" w:firstLineChars="100"/>
    </w:pPr>
  </w:style>
  <w:style w:type="paragraph" w:styleId="19">
    <w:name w:val="Body Text First Indent 2"/>
    <w:basedOn w:val="10"/>
    <w:link w:val="37"/>
    <w:unhideWhenUsed/>
    <w:qFormat/>
    <w:uiPriority w:val="99"/>
    <w:pPr>
      <w:widowControl/>
      <w:spacing w:after="0"/>
      <w:ind w:left="0" w:leftChars="0" w:firstLine="200" w:firstLineChars="200"/>
      <w:jc w:val="left"/>
    </w:pPr>
    <w:rPr>
      <w:rFonts w:ascii="宋体" w:hAnsi="宋体"/>
      <w:kern w:val="1"/>
      <w:sz w:val="30"/>
      <w:szCs w:val="3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line number"/>
    <w:basedOn w:val="22"/>
    <w:unhideWhenUsed/>
    <w:qFormat/>
    <w:uiPriority w:val="99"/>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paragraph" w:customStyle="1" w:styleId="27">
    <w:name w:val="List Paragraph1"/>
    <w:basedOn w:val="1"/>
    <w:qFormat/>
    <w:uiPriority w:val="0"/>
    <w:rPr>
      <w:rFonts w:eastAsia="宋体"/>
      <w:szCs w:val="21"/>
    </w:rPr>
  </w:style>
  <w:style w:type="character" w:customStyle="1" w:styleId="28">
    <w:name w:val="标题 2 字符"/>
    <w:link w:val="3"/>
    <w:qFormat/>
    <w:uiPriority w:val="0"/>
    <w:rPr>
      <w:rFonts w:ascii="Arial" w:hAnsi="Arial" w:eastAsia="仿宋"/>
      <w:b/>
      <w:kern w:val="2"/>
      <w:sz w:val="28"/>
      <w:szCs w:val="24"/>
    </w:rPr>
  </w:style>
  <w:style w:type="character" w:customStyle="1" w:styleId="29">
    <w:name w:val="标题 1 Char"/>
    <w:qFormat/>
    <w:uiPriority w:val="0"/>
    <w:rPr>
      <w:b/>
      <w:kern w:val="44"/>
      <w:sz w:val="44"/>
      <w:szCs w:val="24"/>
    </w:rPr>
  </w:style>
  <w:style w:type="character" w:customStyle="1" w:styleId="30">
    <w:name w:val="页脚 字符"/>
    <w:link w:val="13"/>
    <w:qFormat/>
    <w:uiPriority w:val="99"/>
    <w:rPr>
      <w:rFonts w:eastAsia="仿宋"/>
      <w:kern w:val="2"/>
      <w:sz w:val="18"/>
      <w:szCs w:val="24"/>
    </w:rPr>
  </w:style>
  <w:style w:type="character" w:customStyle="1" w:styleId="31">
    <w:name w:val="标题 1 字符"/>
    <w:link w:val="2"/>
    <w:qFormat/>
    <w:uiPriority w:val="0"/>
    <w:rPr>
      <w:rFonts w:ascii="Calibri" w:hAnsi="Calibri" w:eastAsia="仿宋" w:cs="Times New Roman"/>
      <w:b/>
      <w:kern w:val="44"/>
      <w:sz w:val="44"/>
      <w:szCs w:val="24"/>
    </w:rPr>
  </w:style>
  <w:style w:type="character" w:customStyle="1" w:styleId="32">
    <w:name w:val="标题 3 字符"/>
    <w:link w:val="4"/>
    <w:qFormat/>
    <w:uiPriority w:val="0"/>
    <w:rPr>
      <w:b/>
      <w:sz w:val="32"/>
    </w:rPr>
  </w:style>
  <w:style w:type="character" w:customStyle="1" w:styleId="33">
    <w:name w:val="批注文字 字符"/>
    <w:link w:val="7"/>
    <w:qFormat/>
    <w:uiPriority w:val="99"/>
    <w:rPr>
      <w:rFonts w:ascii="Calibri" w:hAnsi="Calibri" w:eastAsia="仿宋" w:cs="Times New Roman"/>
      <w:kern w:val="2"/>
      <w:sz w:val="21"/>
      <w:szCs w:val="24"/>
    </w:rPr>
  </w:style>
  <w:style w:type="character" w:customStyle="1" w:styleId="34">
    <w:name w:val="正文文本缩进 字符"/>
    <w:link w:val="10"/>
    <w:qFormat/>
    <w:uiPriority w:val="0"/>
    <w:rPr>
      <w:rFonts w:eastAsia="仿宋"/>
      <w:kern w:val="2"/>
      <w:sz w:val="21"/>
      <w:szCs w:val="24"/>
    </w:rPr>
  </w:style>
  <w:style w:type="character" w:customStyle="1" w:styleId="35">
    <w:name w:val="批注框文本 字符"/>
    <w:link w:val="12"/>
    <w:qFormat/>
    <w:uiPriority w:val="0"/>
    <w:rPr>
      <w:rFonts w:ascii="Calibri" w:hAnsi="Calibri" w:eastAsia="仿宋" w:cs="Times New Roman"/>
      <w:kern w:val="2"/>
      <w:sz w:val="18"/>
      <w:szCs w:val="18"/>
    </w:rPr>
  </w:style>
  <w:style w:type="character" w:customStyle="1" w:styleId="36">
    <w:name w:val="批注主题 字符"/>
    <w:link w:val="17"/>
    <w:qFormat/>
    <w:uiPriority w:val="0"/>
    <w:rPr>
      <w:rFonts w:ascii="Calibri" w:hAnsi="Calibri" w:eastAsia="仿宋" w:cs="Times New Roman"/>
      <w:b/>
      <w:bCs/>
      <w:kern w:val="2"/>
      <w:sz w:val="21"/>
      <w:szCs w:val="24"/>
    </w:rPr>
  </w:style>
  <w:style w:type="character" w:customStyle="1" w:styleId="37">
    <w:name w:val="正文文本首行缩进 2 字符"/>
    <w:link w:val="19"/>
    <w:qFormat/>
    <w:uiPriority w:val="99"/>
    <w:rPr>
      <w:rFonts w:ascii="宋体" w:hAnsi="宋体" w:eastAsia="仿宋" w:cs="宋体"/>
      <w:kern w:val="1"/>
      <w:sz w:val="30"/>
      <w:szCs w:val="30"/>
    </w:rPr>
  </w:style>
  <w:style w:type="character" w:customStyle="1" w:styleId="38">
    <w:name w:val="font31"/>
    <w:qFormat/>
    <w:uiPriority w:val="0"/>
    <w:rPr>
      <w:rFonts w:ascii="Calibri" w:hAnsi="Calibri" w:cs="Calibri"/>
      <w:color w:val="000000"/>
      <w:sz w:val="21"/>
      <w:szCs w:val="21"/>
      <w:u w:val="none"/>
    </w:rPr>
  </w:style>
  <w:style w:type="character" w:customStyle="1" w:styleId="39">
    <w:name w:val="font21"/>
    <w:qFormat/>
    <w:uiPriority w:val="0"/>
    <w:rPr>
      <w:rFonts w:hint="eastAsia" w:ascii="宋体" w:hAnsi="宋体" w:eastAsia="宋体" w:cs="宋体"/>
      <w:color w:val="000000"/>
      <w:sz w:val="21"/>
      <w:szCs w:val="21"/>
      <w:u w:val="none"/>
    </w:rPr>
  </w:style>
  <w:style w:type="character" w:customStyle="1" w:styleId="40">
    <w:name w:val="标题 2 Char1"/>
    <w:qFormat/>
    <w:uiPriority w:val="0"/>
    <w:rPr>
      <w:rFonts w:ascii="Arial" w:hAnsi="Arial" w:eastAsia="黑体"/>
      <w:b/>
      <w:kern w:val="2"/>
      <w:sz w:val="32"/>
      <w:szCs w:val="24"/>
    </w:rPr>
  </w:style>
  <w:style w:type="character" w:customStyle="1" w:styleId="41">
    <w:name w:val="font11"/>
    <w:qFormat/>
    <w:uiPriority w:val="0"/>
    <w:rPr>
      <w:rFonts w:hint="default" w:ascii="仿宋_GB2312" w:eastAsia="仿宋_GB2312" w:cs="仿宋_GB2312"/>
      <w:color w:val="000000"/>
      <w:sz w:val="24"/>
      <w:szCs w:val="24"/>
      <w:u w:val="none"/>
    </w:rPr>
  </w:style>
  <w:style w:type="paragraph" w:customStyle="1" w:styleId="4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3">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4">
    <w:name w:val="_Style 40"/>
    <w:unhideWhenUsed/>
    <w:qFormat/>
    <w:uiPriority w:val="99"/>
    <w:rPr>
      <w:rFonts w:ascii="Times New Roman" w:hAnsi="Times New Roman" w:eastAsia="仿宋" w:cs="Times New Roman"/>
      <w:kern w:val="2"/>
      <w:sz w:val="21"/>
      <w:szCs w:val="24"/>
      <w:lang w:val="en-US" w:eastAsia="zh-CN" w:bidi="ar-SA"/>
    </w:rPr>
  </w:style>
  <w:style w:type="paragraph" w:customStyle="1" w:styleId="45">
    <w:name w:val="Normal_0_3"/>
    <w:basedOn w:val="1"/>
    <w:qFormat/>
    <w:uiPriority w:val="0"/>
    <w:pPr>
      <w:widowControl/>
      <w:jc w:val="left"/>
    </w:pPr>
    <w:rPr>
      <w:rFonts w:eastAsia="宋体"/>
      <w:kern w:val="0"/>
      <w:sz w:val="24"/>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8">
    <w:name w:val="样式H"/>
    <w:basedOn w:val="2"/>
    <w:next w:val="1"/>
    <w:qFormat/>
    <w:uiPriority w:val="0"/>
    <w:pPr>
      <w:spacing w:before="100" w:line="500" w:lineRule="exact"/>
    </w:pPr>
  </w:style>
  <w:style w:type="paragraph" w:styleId="49">
    <w:name w:val="List Paragraph"/>
    <w:basedOn w:val="1"/>
    <w:qFormat/>
    <w:uiPriority w:val="34"/>
    <w:pPr>
      <w:ind w:firstLine="420" w:firstLineChars="200"/>
    </w:pPr>
  </w:style>
  <w:style w:type="paragraph" w:customStyle="1" w:styleId="50">
    <w:name w:val="Normal_4"/>
    <w:qFormat/>
    <w:uiPriority w:val="0"/>
    <w:rPr>
      <w:rFonts w:ascii="Times New Roman" w:hAnsi="Times New Roman" w:eastAsia="Times New Roman" w:cs="Times New Roman"/>
      <w:sz w:val="24"/>
      <w:szCs w:val="24"/>
      <w:lang w:val="en-US" w:eastAsia="zh-CN" w:bidi="ar-SA"/>
    </w:rPr>
  </w:style>
  <w:style w:type="paragraph" w:customStyle="1" w:styleId="51">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列出段落11"/>
    <w:basedOn w:val="1"/>
    <w:qFormat/>
    <w:uiPriority w:val="34"/>
    <w:pPr>
      <w:ind w:firstLine="420" w:firstLineChars="200"/>
    </w:pPr>
    <w:rPr>
      <w:rFonts w:ascii="Calibri" w:hAnsi="Calibri" w:eastAsia="宋体"/>
      <w:szCs w:val="22"/>
      <w:lang w:val="zh-CN"/>
    </w:rPr>
  </w:style>
  <w:style w:type="paragraph" w:customStyle="1" w:styleId="53">
    <w:name w:val="样式N"/>
    <w:basedOn w:val="48"/>
    <w:qFormat/>
    <w:uiPriority w:val="0"/>
    <w:rPr>
      <w:sz w:val="30"/>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msolistparagraph"/>
    <w:basedOn w:val="1"/>
    <w:qFormat/>
    <w:uiPriority w:val="0"/>
    <w:pPr>
      <w:ind w:firstLine="420" w:firstLineChars="200"/>
    </w:pPr>
    <w:rPr>
      <w:rFonts w:eastAsia="宋体"/>
      <w:szCs w:val="21"/>
    </w:rPr>
  </w:style>
  <w:style w:type="paragraph" w:customStyle="1" w:styleId="5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7">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58">
    <w:name w:val="Normal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Normal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Normal (Web)_0"/>
    <w:basedOn w:val="59"/>
    <w:unhideWhenUsed/>
    <w:qFormat/>
    <w:uiPriority w:val="0"/>
    <w:pPr>
      <w:widowControl/>
      <w:spacing w:before="100" w:beforeAutospacing="1" w:after="100" w:afterAutospacing="1"/>
      <w:jc w:val="left"/>
    </w:pPr>
    <w:rPr>
      <w:rFonts w:ascii="宋体" w:hAnsi="宋体" w:cs="宋体"/>
      <w:kern w:val="0"/>
      <w:sz w:val="24"/>
      <w:szCs w:val="24"/>
    </w:rPr>
  </w:style>
  <w:style w:type="character" w:customStyle="1" w:styleId="61">
    <w:name w:val="font71"/>
    <w:qFormat/>
    <w:uiPriority w:val="0"/>
    <w:rPr>
      <w:rFonts w:hint="default" w:ascii="Times New Roman" w:hAnsi="Times New Roman" w:cs="Times New Roman"/>
      <w:b/>
      <w:bCs/>
      <w:color w:val="000000"/>
      <w:sz w:val="21"/>
      <w:szCs w:val="21"/>
      <w:u w:val="none"/>
    </w:rPr>
  </w:style>
  <w:style w:type="character" w:customStyle="1" w:styleId="62">
    <w:name w:val="font61"/>
    <w:qFormat/>
    <w:uiPriority w:val="0"/>
    <w:rPr>
      <w:rFonts w:hint="eastAsia" w:ascii="宋体" w:hAnsi="宋体" w:eastAsia="宋体" w:cs="宋体"/>
      <w:b/>
      <w:bCs/>
      <w:color w:val="000000"/>
      <w:sz w:val="21"/>
      <w:szCs w:val="21"/>
      <w:u w:val="none"/>
    </w:rPr>
  </w:style>
  <w:style w:type="character" w:customStyle="1" w:styleId="63">
    <w:name w:val="font41"/>
    <w:qFormat/>
    <w:uiPriority w:val="0"/>
    <w:rPr>
      <w:rFonts w:hint="default" w:ascii="仿宋_GB2312" w:eastAsia="仿宋_GB2312" w:cs="仿宋_GB2312"/>
      <w:color w:val="000000"/>
      <w:sz w:val="21"/>
      <w:szCs w:val="21"/>
      <w:u w:val="none"/>
    </w:rPr>
  </w:style>
  <w:style w:type="character" w:customStyle="1" w:styleId="64">
    <w:name w:val="*正文 Char"/>
    <w:link w:val="65"/>
    <w:qFormat/>
    <w:uiPriority w:val="0"/>
    <w:rPr>
      <w:rFonts w:eastAsia="仿宋_GB2312"/>
      <w:sz w:val="24"/>
      <w:szCs w:val="28"/>
    </w:rPr>
  </w:style>
  <w:style w:type="paragraph" w:customStyle="1" w:styleId="65">
    <w:name w:val="*正文"/>
    <w:basedOn w:val="1"/>
    <w:link w:val="64"/>
    <w:qFormat/>
    <w:uiPriority w:val="0"/>
    <w:pPr>
      <w:widowControl/>
      <w:spacing w:line="360" w:lineRule="auto"/>
      <w:ind w:firstLine="480" w:firstLineChars="200"/>
    </w:pPr>
    <w:rPr>
      <w:rFonts w:eastAsia="仿宋_GB2312"/>
      <w:kern w:val="0"/>
      <w:sz w:val="24"/>
      <w:szCs w:val="28"/>
    </w:rPr>
  </w:style>
  <w:style w:type="paragraph" w:customStyle="1" w:styleId="66">
    <w:name w:val="a样式3"/>
    <w:basedOn w:val="1"/>
    <w:link w:val="67"/>
    <w:qFormat/>
    <w:uiPriority w:val="0"/>
    <w:pPr>
      <w:keepNext/>
      <w:keepLines/>
      <w:tabs>
        <w:tab w:val="left" w:pos="360"/>
      </w:tabs>
      <w:spacing w:before="120" w:after="120"/>
      <w:ind w:left="420" w:leftChars="200"/>
      <w:jc w:val="left"/>
      <w:outlineLvl w:val="2"/>
    </w:pPr>
    <w:rPr>
      <w:rFonts w:ascii="黑体" w:hAnsi="黑体" w:eastAsia="宋体"/>
      <w:bCs/>
      <w:kern w:val="44"/>
      <w:sz w:val="30"/>
      <w:szCs w:val="44"/>
      <w:lang w:val="zh-CN"/>
    </w:rPr>
  </w:style>
  <w:style w:type="character" w:customStyle="1" w:styleId="67">
    <w:name w:val="a样式3 Char"/>
    <w:link w:val="66"/>
    <w:qFormat/>
    <w:uiPriority w:val="0"/>
    <w:rPr>
      <w:rFonts w:ascii="黑体" w:hAnsi="黑体"/>
      <w:bCs/>
      <w:kern w:val="44"/>
      <w:sz w:val="30"/>
      <w:szCs w:val="44"/>
      <w:lang w:val="zh-CN"/>
    </w:rPr>
  </w:style>
  <w:style w:type="paragraph" w:customStyle="1" w:styleId="68">
    <w:name w:val="修订1"/>
    <w:hidden/>
    <w:semiHidden/>
    <w:qFormat/>
    <w:uiPriority w:val="99"/>
    <w:rPr>
      <w:rFonts w:ascii="Calibri" w:hAnsi="Calibri" w:eastAsia="宋体" w:cs="Times New Roman"/>
      <w:kern w:val="2"/>
      <w:sz w:val="21"/>
      <w:szCs w:val="24"/>
      <w:lang w:val="en-US" w:eastAsia="zh-CN" w:bidi="ar-SA"/>
    </w:rPr>
  </w:style>
  <w:style w:type="character" w:customStyle="1" w:styleId="69">
    <w:name w:val="页眉 字符"/>
    <w:basedOn w:val="22"/>
    <w:link w:val="14"/>
    <w:qFormat/>
    <w:uiPriority w:val="99"/>
    <w:rPr>
      <w:rFonts w:eastAsia="仿宋"/>
      <w:kern w:val="2"/>
      <w:sz w:val="18"/>
      <w:szCs w:val="24"/>
    </w:rPr>
  </w:style>
  <w:style w:type="paragraph" w:customStyle="1" w:styleId="70">
    <w:name w:val="修订2"/>
    <w:hidden/>
    <w:semiHidden/>
    <w:qFormat/>
    <w:uiPriority w:val="99"/>
    <w:rPr>
      <w:rFonts w:ascii="Times New Roman" w:hAnsi="Times New Roman" w:eastAsia="仿宋" w:cs="Times New Roman"/>
      <w:kern w:val="2"/>
      <w:sz w:val="21"/>
      <w:szCs w:val="24"/>
      <w:lang w:val="en-US" w:eastAsia="zh-CN" w:bidi="ar-SA"/>
    </w:rPr>
  </w:style>
  <w:style w:type="paragraph" w:customStyle="1" w:styleId="71">
    <w:name w:val="正文2"/>
    <w:qFormat/>
    <w:uiPriority w:val="0"/>
    <w:pPr>
      <w:jc w:val="both"/>
    </w:pPr>
    <w:rPr>
      <w:rFonts w:ascii="宋体" w:hAnsi="宋体" w:eastAsia="宋体" w:cs="宋体"/>
      <w:kern w:val="2"/>
      <w:sz w:val="21"/>
      <w:szCs w:val="21"/>
      <w:lang w:val="en-US" w:eastAsia="zh-CN" w:bidi="ar-SA"/>
    </w:rPr>
  </w:style>
  <w:style w:type="paragraph" w:customStyle="1" w:styleId="72">
    <w:name w:val="修订3"/>
    <w:hidden/>
    <w:semiHidden/>
    <w:qFormat/>
    <w:uiPriority w:val="99"/>
    <w:rPr>
      <w:rFonts w:ascii="Times New Roman" w:hAnsi="Times New Roman" w:eastAsia="仿宋" w:cs="Times New Roman"/>
      <w:kern w:val="2"/>
      <w:sz w:val="21"/>
      <w:szCs w:val="24"/>
      <w:lang w:val="en-US" w:eastAsia="zh-CN" w:bidi="ar-SA"/>
    </w:rPr>
  </w:style>
  <w:style w:type="paragraph" w:customStyle="1" w:styleId="73">
    <w:name w:val="正文文本首行缩进1"/>
    <w:basedOn w:val="8"/>
    <w:qFormat/>
    <w:uiPriority w:val="0"/>
    <w:pPr>
      <w:ind w:firstLine="420" w:firstLineChars="100"/>
    </w:pPr>
  </w:style>
  <w:style w:type="paragraph" w:customStyle="1" w:styleId="74">
    <w:name w:val="章节题目"/>
    <w:basedOn w:val="75"/>
    <w:next w:val="1"/>
    <w:qFormat/>
    <w:uiPriority w:val="99"/>
    <w:pPr>
      <w:spacing w:before="720" w:after="400" w:line="540" w:lineRule="atLeast"/>
      <w:ind w:right="2160"/>
    </w:pPr>
    <w:rPr>
      <w:rFonts w:ascii="Times New Roman" w:hAnsi="Times New Roman" w:cs="Times New Roman"/>
      <w:spacing w:val="-40"/>
      <w:sz w:val="60"/>
      <w:szCs w:val="60"/>
    </w:rPr>
  </w:style>
  <w:style w:type="paragraph" w:customStyle="1" w:styleId="75">
    <w:name w:val="基准标题"/>
    <w:basedOn w:val="1"/>
    <w:next w:val="8"/>
    <w:qFormat/>
    <w:uiPriority w:val="99"/>
    <w:pPr>
      <w:keepNext/>
      <w:keepLines/>
      <w:spacing w:before="140" w:line="220" w:lineRule="atLeast"/>
    </w:pPr>
    <w:rPr>
      <w:rFonts w:ascii="Arial" w:hAnsi="Arial" w:cs="Arial"/>
      <w:spacing w:val="-4"/>
      <w:kern w:val="28"/>
      <w:sz w:val="22"/>
      <w:szCs w:val="22"/>
    </w:rPr>
  </w:style>
  <w:style w:type="paragraph" w:customStyle="1" w:styleId="76">
    <w:name w:val="Default"/>
    <w:basedOn w:val="1"/>
    <w:semiHidden/>
    <w:qFormat/>
    <w:uiPriority w:val="0"/>
    <w:pPr>
      <w:autoSpaceDE w:val="0"/>
      <w:autoSpaceDN w:val="0"/>
      <w:adjustRightInd w:val="0"/>
    </w:pPr>
    <w:rPr>
      <w:rFonts w:ascii="宋体" w:cs="宋体"/>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xp</Company>
  <Pages>158</Pages>
  <Words>78247</Words>
  <Characters>82016</Characters>
  <Lines>663</Lines>
  <Paragraphs>186</Paragraphs>
  <TotalTime>1</TotalTime>
  <ScaleCrop>false</ScaleCrop>
  <LinksUpToDate>false</LinksUpToDate>
  <CharactersWithSpaces>86021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2022-12-08T05:19:00Z</dcterms:created>
  <dc:creator>meimei</dc:creator>
  <cp:lastModifiedBy></cp:lastModifiedBy>
  <cp:lastPrinted>2023-05-05T10:45:00Z</cp:lastPrinted>
  <dcterms:modified xsi:type="dcterms:W3CDTF">2023-06-05T00:46:26Z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E55BD6259F9B45FE9242837C07E30107_13</vt:lpwstr>
  </property>
</Properties>
</file>